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D68FF" w14:textId="77777777" w:rsidR="00185B1B" w:rsidRPr="009750F7" w:rsidRDefault="00185B1B" w:rsidP="0056259C"/>
    <w:p w14:paraId="71FC2701" w14:textId="266649E5" w:rsidR="00423BCD" w:rsidRPr="0056259C" w:rsidRDefault="00185B1B" w:rsidP="006C059D">
      <w:pPr>
        <w:jc w:val="center"/>
        <w:rPr>
          <w:b/>
          <w:bCs/>
          <w:sz w:val="36"/>
          <w:szCs w:val="36"/>
        </w:rPr>
      </w:pPr>
      <w:r w:rsidRPr="0056259C">
        <w:rPr>
          <w:b/>
          <w:bCs/>
          <w:sz w:val="36"/>
          <w:szCs w:val="36"/>
        </w:rPr>
        <w:t>Killaney Parish Church</w:t>
      </w:r>
      <w:r w:rsidR="0056259C" w:rsidRPr="0056259C">
        <w:rPr>
          <w:b/>
          <w:bCs/>
          <w:sz w:val="36"/>
          <w:szCs w:val="36"/>
        </w:rPr>
        <w:br/>
      </w:r>
      <w:r w:rsidR="00423BCD" w:rsidRPr="0056259C">
        <w:rPr>
          <w:b/>
          <w:bCs/>
          <w:sz w:val="36"/>
          <w:szCs w:val="36"/>
        </w:rPr>
        <w:t>St Andrew’s</w:t>
      </w:r>
    </w:p>
    <w:p w14:paraId="0FDE58E4" w14:textId="655E23B6" w:rsidR="00185B1B" w:rsidRPr="006C059D" w:rsidRDefault="00185B1B" w:rsidP="006C059D">
      <w:pPr>
        <w:jc w:val="center"/>
        <w:rPr>
          <w:b/>
          <w:bCs/>
        </w:rPr>
      </w:pPr>
      <w:r w:rsidRPr="006C059D">
        <w:rPr>
          <w:b/>
          <w:bCs/>
        </w:rPr>
        <w:t>Trustees’ Annual report and Statement of Receipts and Payments and Assets and Liabilities</w:t>
      </w:r>
      <w:r w:rsidR="0056259C" w:rsidRPr="006C059D">
        <w:rPr>
          <w:b/>
          <w:bCs/>
        </w:rPr>
        <w:br/>
      </w:r>
      <w:r w:rsidRPr="006C059D">
        <w:rPr>
          <w:b/>
          <w:bCs/>
        </w:rPr>
        <w:t>For</w:t>
      </w:r>
      <w:r w:rsidR="00543CBB" w:rsidRPr="006C059D">
        <w:rPr>
          <w:b/>
          <w:bCs/>
        </w:rPr>
        <w:t xml:space="preserve"> the year ended 31 December 20</w:t>
      </w:r>
      <w:r w:rsidR="00E74ED5" w:rsidRPr="006C059D">
        <w:rPr>
          <w:b/>
          <w:bCs/>
        </w:rPr>
        <w:t>20</w:t>
      </w:r>
    </w:p>
    <w:p w14:paraId="1FAF1C65" w14:textId="66AC3280" w:rsidR="0056259C" w:rsidRPr="0056259C" w:rsidRDefault="0056259C" w:rsidP="0056259C">
      <w:pPr>
        <w:pStyle w:val="Heading1"/>
      </w:pPr>
      <w:r w:rsidRPr="0056259C">
        <w:t>TRUSTEES’ ANNUAL REPORT for the year ended 31st December 2020</w:t>
      </w:r>
    </w:p>
    <w:p w14:paraId="2408872E" w14:textId="396946CC" w:rsidR="0056259C" w:rsidRPr="0056259C" w:rsidRDefault="0056259C" w:rsidP="0056259C">
      <w:r w:rsidRPr="0056259C">
        <w:t xml:space="preserve">The trustees present the annual report and statements of Receipts and Payments and Assets and Liabilities for </w:t>
      </w:r>
      <w:r w:rsidRPr="006C059D">
        <w:rPr>
          <w:b/>
          <w:bCs/>
        </w:rPr>
        <w:t>Killaney Parish Church</w:t>
      </w:r>
      <w:r w:rsidRPr="0056259C">
        <w:t xml:space="preserve"> for the year ended 2020.</w:t>
      </w:r>
    </w:p>
    <w:p w14:paraId="7636BAF0" w14:textId="0A065F49" w:rsidR="0056259C" w:rsidRPr="0056259C" w:rsidRDefault="0056259C" w:rsidP="0056259C">
      <w:pPr>
        <w:pStyle w:val="Heading2"/>
      </w:pPr>
      <w:r w:rsidRPr="0056259C">
        <w:t>The Year of the Pandemic.</w:t>
      </w:r>
    </w:p>
    <w:p w14:paraId="2CAE711D" w14:textId="2F441E96" w:rsidR="0056259C" w:rsidRPr="0056259C" w:rsidRDefault="0056259C" w:rsidP="0056259C">
      <w:r w:rsidRPr="0056259C">
        <w:t>From early 2020 the worldwide community began to realise that a dangerous virus borne infection, emerging in the Far East, posed a hazard for people in China and their immediate neighbours. Two months later we discovered that this virus, Coronavirus-2019, was actively infecting people in communities all over the world. This had been aided by international trade and transport, the availability of international holidays, and the human desire to be in close proximity to one another.</w:t>
      </w:r>
    </w:p>
    <w:p w14:paraId="3B363CFA" w14:textId="77777777" w:rsidR="0056259C" w:rsidRPr="0056259C" w:rsidRDefault="0056259C" w:rsidP="0056259C">
      <w:r w:rsidRPr="0056259C">
        <w:t>Preliminary precautions in our churches in Northern Ireland involved suspending the act of "Sharing the Peace" at communion, and later limiting "Sharing the Cup." Little did we anticipate the close down of in-person services for several months, and the need to follow precautions well into the following year.</w:t>
      </w:r>
    </w:p>
    <w:p w14:paraId="2ACE1BB0" w14:textId="77777777" w:rsidR="0056259C" w:rsidRPr="0056259C" w:rsidRDefault="0056259C" w:rsidP="0056259C">
      <w:r w:rsidRPr="0056259C">
        <w:t>Our Select Vestry were advised to set in motion a whole series of precautionary actions before the possibility of introducing drive-in services and, later, in-person services. The willingness of these parish representatives to take brave and thoughtful decisions in this regard was appreciated by their fellow members. Even though there was regret at their necessity, there was agreement in both their application, and the concern for safety shown in every action they took.</w:t>
      </w:r>
    </w:p>
    <w:p w14:paraId="4008F2BF" w14:textId="77777777" w:rsidR="0056259C" w:rsidRPr="0056259C" w:rsidRDefault="0056259C" w:rsidP="0056259C">
      <w:r w:rsidRPr="0056259C">
        <w:t>Services in church were suspended from March 15, until late August. A further suspension occurred in November resulting in drive-ins beginning again, and after a brief return to services in church in the lead up to Christmas, a period of drive-ins and then online-only worship which has continued to the date of this report being written.</w:t>
      </w:r>
    </w:p>
    <w:p w14:paraId="325571FD" w14:textId="77777777" w:rsidR="0056259C" w:rsidRPr="0056259C" w:rsidRDefault="0056259C" w:rsidP="0056259C">
      <w:r w:rsidRPr="0056259C">
        <w:lastRenderedPageBreak/>
        <w:t>The financial outcome of these adjustments in 2020 had, in turn, an impact on both our outgoings and income. The hall was out of use from March  2020. Church and hall heating bills were down but cash donations and weekly envelope subscriptions were reduced.</w:t>
      </w:r>
    </w:p>
    <w:p w14:paraId="1302C045" w14:textId="77777777" w:rsidR="0056259C" w:rsidRPr="0056259C" w:rsidRDefault="0056259C" w:rsidP="0056259C">
      <w:r w:rsidRPr="0056259C">
        <w:t>To counteract this reduction in income, letters were sent to all parishioners in May inviting them to set up standing orders for church funds. This has had a small impact on the shortfall but by no means eliminated it as the accompanying figures show.</w:t>
      </w:r>
    </w:p>
    <w:p w14:paraId="6B96C3DF" w14:textId="77777777" w:rsidR="0056259C" w:rsidRPr="0056259C" w:rsidRDefault="0056259C" w:rsidP="0056259C"/>
    <w:p w14:paraId="11E533AE" w14:textId="7EB122C0" w:rsidR="0056259C" w:rsidRPr="0056259C" w:rsidRDefault="0056259C" w:rsidP="0056259C">
      <w:pPr>
        <w:pStyle w:val="Heading2"/>
      </w:pPr>
      <w:r w:rsidRPr="0056259C">
        <w:t xml:space="preserve">Objectives and Activities </w:t>
      </w:r>
    </w:p>
    <w:p w14:paraId="20FC62D2" w14:textId="77777777" w:rsidR="0056259C" w:rsidRPr="0056259C" w:rsidRDefault="0056259C" w:rsidP="0056259C">
      <w:r w:rsidRPr="0056259C">
        <w:t>The charitable purpose of the Church of Ireland is the advancement of religion.</w:t>
      </w:r>
    </w:p>
    <w:p w14:paraId="0D67C625" w14:textId="77777777" w:rsidR="0056259C" w:rsidRPr="0056259C" w:rsidRDefault="0056259C" w:rsidP="0056259C">
      <w:r w:rsidRPr="0056259C">
        <w:t>The principal function of Killaney Parish is to support the advancement of the Christian religion by promoting, through the work of Killaney Parish, the whole mission of the Church, pastoral, evangelistic, social and ecumenical. Being open to and engaging with society as a whole and offering support for those needing help are fundamental to the practical delivery of the benefits of Christianity.</w:t>
      </w:r>
    </w:p>
    <w:p w14:paraId="01EC9939" w14:textId="1A0F7757" w:rsidR="0056259C" w:rsidRPr="0056259C" w:rsidRDefault="0056259C" w:rsidP="0056259C">
      <w:r w:rsidRPr="0056259C">
        <w:t>As a result of activity in the pursuit of the advancement of the Christian religion, Killaney Parish has custody of property and of records, materials and artefacts of significance to the cultural and religious heritage, and maintenance of which is undertaken by the select vestry of Killaney Parish.</w:t>
      </w:r>
    </w:p>
    <w:p w14:paraId="6CBEC971" w14:textId="0D2686D6" w:rsidR="0056259C" w:rsidRPr="0056259C" w:rsidRDefault="0056259C" w:rsidP="0056259C">
      <w:pPr>
        <w:pStyle w:val="Heading2"/>
      </w:pPr>
      <w:r w:rsidRPr="0056259C">
        <w:t>Achievements, Performance &amp; Public Benefit</w:t>
      </w:r>
    </w:p>
    <w:p w14:paraId="6E42D48F" w14:textId="77777777" w:rsidR="0056259C" w:rsidRPr="0056259C" w:rsidRDefault="0056259C" w:rsidP="0056259C">
      <w:r w:rsidRPr="0056259C">
        <w:t>St Andrew’s Church is a nineteenth century listed (B2) building with simple plain and coloured glass windows surrounding a traditional worship place. With seating for up 120 people it provides the location for a weekly service for the community, as well as the location of weddings and funerals for people with and without pre-existing connections to the parish.</w:t>
      </w:r>
    </w:p>
    <w:p w14:paraId="14E16112" w14:textId="77777777" w:rsidR="0056259C" w:rsidRPr="0056259C" w:rsidRDefault="0056259C" w:rsidP="0056259C">
      <w:r w:rsidRPr="0056259C">
        <w:t>One main service each week reflects a monthly cycle, including a Parish Communion service, services of Morning Prayer and all age worship. This pattern was suspended in March and partially resumed in late August, but without children's participation.</w:t>
      </w:r>
    </w:p>
    <w:p w14:paraId="2555B167" w14:textId="77777777" w:rsidR="0056259C" w:rsidRPr="0056259C" w:rsidRDefault="0056259C" w:rsidP="0056259C">
      <w:r w:rsidRPr="0056259C">
        <w:t>Support for parishioners continued through online prayer thoughts each day and services each week, even when a return to in-church or drive-in services was possible.</w:t>
      </w:r>
    </w:p>
    <w:p w14:paraId="4836EA06" w14:textId="5E6215E7" w:rsidR="0056259C" w:rsidRPr="0056259C" w:rsidRDefault="0056259C" w:rsidP="0056259C">
      <w:r w:rsidRPr="0056259C">
        <w:t xml:space="preserve">It has been our intention to awaken in one another our sense of the importance of a spiritual life for people, providing teaching, preaching, encouragements to study the bible and enabling fresh experiences of worship to enliven the heart. </w:t>
      </w:r>
    </w:p>
    <w:p w14:paraId="7DBCB19B" w14:textId="4DDB2CC9" w:rsidR="0056259C" w:rsidRPr="0056259C" w:rsidRDefault="0056259C" w:rsidP="0056259C">
      <w:pPr>
        <w:pStyle w:val="Heading2"/>
      </w:pPr>
      <w:r w:rsidRPr="0056259C">
        <w:lastRenderedPageBreak/>
        <w:t xml:space="preserve">Parish Communications </w:t>
      </w:r>
    </w:p>
    <w:p w14:paraId="4AF687CF" w14:textId="77777777" w:rsidR="0056259C" w:rsidRPr="0056259C" w:rsidRDefault="0056259C" w:rsidP="0056259C">
      <w:r w:rsidRPr="0056259C">
        <w:t>A carefully managed database contains contact records of people on our church records. This is used for the purpose of issuing monthly magazines and maintaining records of contributors’ addresses.</w:t>
      </w:r>
      <w:r w:rsidRPr="0056259C">
        <w:rPr>
          <w:rFonts w:ascii="MS Gothic" w:eastAsia="MS Gothic" w:hAnsi="MS Gothic" w:cs="MS Gothic" w:hint="eastAsia"/>
        </w:rPr>
        <w:t> </w:t>
      </w:r>
      <w:r w:rsidRPr="0056259C">
        <w:t>We have continued to donate food and essentials stuffs to The Larder in Mersey Street. We filled a limited number of shoe boxes with Christmas gifts for children overseas, as organised by Samaritan’s Purse.</w:t>
      </w:r>
    </w:p>
    <w:p w14:paraId="6EC4FDD1" w14:textId="77777777" w:rsidR="0056259C" w:rsidRPr="0056259C" w:rsidRDefault="0056259C" w:rsidP="0056259C"/>
    <w:p w14:paraId="164A312A" w14:textId="796D600B" w:rsidR="0056259C" w:rsidRPr="0056259C" w:rsidRDefault="0056259C" w:rsidP="0056259C">
      <w:pPr>
        <w:pStyle w:val="Heading2"/>
      </w:pPr>
      <w:r w:rsidRPr="0056259C">
        <w:t>Partnerships</w:t>
      </w:r>
    </w:p>
    <w:p w14:paraId="374CE403" w14:textId="77777777" w:rsidR="0056259C" w:rsidRPr="0056259C" w:rsidRDefault="0056259C" w:rsidP="0056259C">
      <w:r w:rsidRPr="0056259C">
        <w:t xml:space="preserve">We are partners in mission with other parts of the worldwide church, in particular with </w:t>
      </w:r>
      <w:proofErr w:type="spellStart"/>
      <w:r w:rsidRPr="0056259C">
        <w:t>Olo</w:t>
      </w:r>
      <w:proofErr w:type="spellEnd"/>
      <w:r w:rsidRPr="0056259C">
        <w:t xml:space="preserve"> Diocese in South Sudan. We donated food stuffs to “The Larder” - a church project in East Belfast - to provide emergency help for people in inner Belfast. Members and friends donated many shoe boxes filled with Christmas presents for children, as organised by Samaritan’s Purse. </w:t>
      </w:r>
    </w:p>
    <w:p w14:paraId="31EC540F" w14:textId="1300E494" w:rsidR="0056259C" w:rsidRPr="0056259C" w:rsidRDefault="0056259C" w:rsidP="0056259C">
      <w:pPr>
        <w:pStyle w:val="Heading2"/>
      </w:pPr>
      <w:r w:rsidRPr="0056259C">
        <w:t>Pastoral Presence</w:t>
      </w:r>
    </w:p>
    <w:p w14:paraId="526197F8" w14:textId="77777777" w:rsidR="0056259C" w:rsidRPr="0056259C" w:rsidRDefault="0056259C" w:rsidP="0056259C">
      <w:r w:rsidRPr="0056259C">
        <w:t xml:space="preserve">Throughout the year the parish seeks to provide a pastoral presence through the ministry of the rector, our diocesan lay readers, and volunteers. </w:t>
      </w:r>
    </w:p>
    <w:p w14:paraId="050FDABE" w14:textId="77777777" w:rsidR="0056259C" w:rsidRPr="0056259C" w:rsidRDefault="0056259C" w:rsidP="0056259C">
      <w:r w:rsidRPr="0056259C">
        <w:t xml:space="preserve">Members of the community admitted to hospital or suffering bereavements make contact with the church and their spiritual needs are addressed. Whether or not they are active members of the parish, we have sought to help people in their need. This was evident particularly when bereavements occurred, and the services of the church were made available.  </w:t>
      </w:r>
    </w:p>
    <w:p w14:paraId="66CADFA6" w14:textId="12F0D03C" w:rsidR="0056259C" w:rsidRPr="0056259C" w:rsidRDefault="0056259C" w:rsidP="0056259C">
      <w:pPr>
        <w:pStyle w:val="Heading2"/>
      </w:pPr>
      <w:r w:rsidRPr="0056259C">
        <w:t>Hall Use</w:t>
      </w:r>
    </w:p>
    <w:p w14:paraId="0FF2C2EB" w14:textId="77777777" w:rsidR="0056259C" w:rsidRPr="0056259C" w:rsidRDefault="0056259C" w:rsidP="0056259C">
      <w:r w:rsidRPr="0056259C">
        <w:t xml:space="preserve">Our church hall is normally used by a local art club, and by young people attending our regular Sunday School. A Lisburn-based Heritage group uses the facilities as well. These activities were curtailed in 2020. </w:t>
      </w:r>
    </w:p>
    <w:p w14:paraId="6F2C5C27" w14:textId="77777777" w:rsidR="0056259C" w:rsidRPr="0056259C" w:rsidRDefault="0056259C" w:rsidP="0056259C">
      <w:r w:rsidRPr="0056259C">
        <w:t>These programmes encouraged physical activity, community building and spiritual growth. The car park is also used by local families while a school bus collects and delivers children there safely each day.</w:t>
      </w:r>
    </w:p>
    <w:p w14:paraId="13D83982" w14:textId="77777777" w:rsidR="0056259C" w:rsidRPr="0056259C" w:rsidRDefault="0056259C" w:rsidP="0056259C">
      <w:r w:rsidRPr="0056259C">
        <w:t xml:space="preserve">To defray running costs such as heating, lighting, cleaning and maintenance, donations for heating and lighting are given by the Art Club. </w:t>
      </w:r>
    </w:p>
    <w:p w14:paraId="6922F515" w14:textId="77777777" w:rsidR="0056259C" w:rsidRPr="0056259C" w:rsidRDefault="0056259C" w:rsidP="0056259C">
      <w:r w:rsidRPr="0056259C">
        <w:t xml:space="preserve">For the protection of children, the Church of Ireland Safeguarding Trust regulations are applied for every instance where children or vulnerable adults are part of the church’s life. </w:t>
      </w:r>
    </w:p>
    <w:p w14:paraId="7B712FD5" w14:textId="04DE8427" w:rsidR="0056259C" w:rsidRPr="0056259C" w:rsidRDefault="0056259C" w:rsidP="0056259C">
      <w:pPr>
        <w:pStyle w:val="Heading2"/>
      </w:pPr>
      <w:r w:rsidRPr="0056259C">
        <w:lastRenderedPageBreak/>
        <w:t>Property and Maintenance</w:t>
      </w:r>
    </w:p>
    <w:p w14:paraId="4044FD3C" w14:textId="77777777" w:rsidR="0056259C" w:rsidRPr="0056259C" w:rsidRDefault="0056259C" w:rsidP="0056259C">
      <w:r w:rsidRPr="0056259C">
        <w:t>The graveyard continues to provide a significant source of income beyond gifts by regular subscribers.</w:t>
      </w:r>
    </w:p>
    <w:p w14:paraId="31B3AE34" w14:textId="77777777" w:rsidR="0056259C" w:rsidRPr="0056259C" w:rsidRDefault="0056259C" w:rsidP="0056259C">
      <w:r w:rsidRPr="0056259C">
        <w:t xml:space="preserve">The interior walls of the church were painted throughout, and the repointing of part of the wall around the church grounds was continued.  Some cast iron windows were removed for repair and replaced on completion of the work. Plans for the placement of new paths in the graveyard continued to be explored and developed. </w:t>
      </w:r>
    </w:p>
    <w:p w14:paraId="552EDEB3" w14:textId="77777777" w:rsidR="0056259C" w:rsidRPr="0056259C" w:rsidRDefault="0056259C" w:rsidP="0056259C">
      <w:r w:rsidRPr="0056259C">
        <w:t>While parking for disabled spaces is not commensurate with the visual appearance of the church and car park, areas adjacent to both the church doors and hall doors are left vacant for such usage where needed. A portable ramp is provided for the use of wheelchair users to come into the church building and is regularly put in place for them.</w:t>
      </w:r>
    </w:p>
    <w:p w14:paraId="7C3344E6" w14:textId="535FC437" w:rsidR="0056259C" w:rsidRPr="0056259C" w:rsidRDefault="0056259C" w:rsidP="0056259C">
      <w:pPr>
        <w:pStyle w:val="Heading2"/>
      </w:pPr>
      <w:r w:rsidRPr="0056259C">
        <w:t>Public Benefit</w:t>
      </w:r>
    </w:p>
    <w:p w14:paraId="55E73400" w14:textId="77777777" w:rsidR="0056259C" w:rsidRPr="0056259C" w:rsidRDefault="0056259C" w:rsidP="0056259C">
      <w:r w:rsidRPr="0056259C">
        <w:t>The Parish has given careful consideration to the Charity Commission for Northern Ireland’s guidance on public benefit to ensure that the activities entered into during the year have helped to achieve the Parish’s objectives and activities, as well as providing public benefit.</w:t>
      </w:r>
    </w:p>
    <w:p w14:paraId="49161A77" w14:textId="0724A929" w:rsidR="0056259C" w:rsidRPr="0056259C" w:rsidRDefault="0056259C" w:rsidP="0056259C">
      <w:pPr>
        <w:pStyle w:val="Heading2"/>
      </w:pPr>
      <w:r w:rsidRPr="0056259C">
        <w:t xml:space="preserve">Going Concern </w:t>
      </w:r>
    </w:p>
    <w:p w14:paraId="0D2D81FE" w14:textId="70021920" w:rsidR="00D20003" w:rsidRDefault="0056259C" w:rsidP="0056259C">
      <w:r w:rsidRPr="0056259C">
        <w:t>The trustees have reviewed the budgets for the year ahead and are satisfied that there are adequate funds in place to ensure that the Parish can continue its activities and the financial statements for the year ended 2020 can be signed off as a going concern.</w:t>
      </w:r>
    </w:p>
    <w:p w14:paraId="3138EE9E" w14:textId="77777777" w:rsidR="00366A78" w:rsidRDefault="00366A78" w:rsidP="0056259C"/>
    <w:p w14:paraId="56AA0D3F" w14:textId="3F92F904" w:rsidR="00A96149" w:rsidRDefault="00A96149" w:rsidP="0056259C">
      <w:pPr>
        <w:rPr>
          <w:rStyle w:val="Heading1Char"/>
        </w:rPr>
      </w:pPr>
    </w:p>
    <w:p w14:paraId="0467EC0B" w14:textId="21D71074" w:rsidR="00872068" w:rsidRDefault="00872068" w:rsidP="0056259C">
      <w:pPr>
        <w:rPr>
          <w:rStyle w:val="Heading1Char"/>
        </w:rPr>
      </w:pPr>
    </w:p>
    <w:p w14:paraId="529EFD4B" w14:textId="38680734" w:rsidR="00872068" w:rsidRDefault="00872068" w:rsidP="0056259C">
      <w:pPr>
        <w:rPr>
          <w:rStyle w:val="Heading1Char"/>
        </w:rPr>
      </w:pPr>
    </w:p>
    <w:p w14:paraId="09E93162" w14:textId="521827C2" w:rsidR="00872068" w:rsidRDefault="00872068" w:rsidP="0056259C">
      <w:pPr>
        <w:rPr>
          <w:rStyle w:val="Heading1Char"/>
        </w:rPr>
      </w:pPr>
    </w:p>
    <w:p w14:paraId="03BA2F4C" w14:textId="18B526B7" w:rsidR="00872068" w:rsidRDefault="00872068" w:rsidP="0056259C">
      <w:pPr>
        <w:rPr>
          <w:rStyle w:val="Heading1Char"/>
        </w:rPr>
      </w:pPr>
    </w:p>
    <w:p w14:paraId="789B057B" w14:textId="6E2E3911" w:rsidR="00872068" w:rsidRDefault="00872068" w:rsidP="0056259C">
      <w:pPr>
        <w:rPr>
          <w:rStyle w:val="Heading1Char"/>
        </w:rPr>
      </w:pPr>
    </w:p>
    <w:p w14:paraId="7E5024E7" w14:textId="63A4A921" w:rsidR="00872068" w:rsidRDefault="00872068" w:rsidP="0056259C">
      <w:pPr>
        <w:rPr>
          <w:rStyle w:val="Heading1Char"/>
        </w:rPr>
      </w:pPr>
    </w:p>
    <w:p w14:paraId="3EF93087" w14:textId="77777777" w:rsidR="00872068" w:rsidRDefault="00872068" w:rsidP="0056259C">
      <w:pPr>
        <w:rPr>
          <w:noProof/>
          <w:lang w:eastAsia="en-GB"/>
        </w:rPr>
      </w:pPr>
    </w:p>
    <w:p w14:paraId="6AE688B7" w14:textId="7F8CA6C2" w:rsidR="008F6DCE" w:rsidRPr="009750F7" w:rsidRDefault="00656BA7" w:rsidP="0056259C">
      <w:pPr>
        <w:pStyle w:val="Heading1"/>
      </w:pPr>
      <w:r w:rsidRPr="009750F7">
        <w:lastRenderedPageBreak/>
        <w:t>Receipts and Payments Account for</w:t>
      </w:r>
      <w:r w:rsidR="00283C5F">
        <w:t xml:space="preserve"> the year ended 31 December 20</w:t>
      </w:r>
      <w:r w:rsidR="00E74ED5">
        <w:t>20</w:t>
      </w:r>
    </w:p>
    <w:p w14:paraId="2917BA62" w14:textId="78F7A7B3" w:rsidR="00656BA7" w:rsidRPr="009209F4" w:rsidRDefault="004002E3" w:rsidP="006C059D">
      <w:pPr>
        <w:pStyle w:val="Heading3"/>
        <w:spacing w:after="0" w:line="240" w:lineRule="auto"/>
      </w:pPr>
      <w:r w:rsidRPr="009209F4">
        <w:tab/>
      </w:r>
      <w:r w:rsidRPr="009209F4">
        <w:tab/>
      </w:r>
      <w:r w:rsidR="008F6DCE" w:rsidRPr="009209F4">
        <w:t>Total</w:t>
      </w:r>
      <w:r w:rsidRPr="009209F4">
        <w:tab/>
      </w:r>
      <w:proofErr w:type="spellStart"/>
      <w:r w:rsidR="008F6DCE" w:rsidRPr="009209F4">
        <w:t>Total</w:t>
      </w:r>
      <w:proofErr w:type="spellEnd"/>
    </w:p>
    <w:p w14:paraId="0E561CA5" w14:textId="59B14B50" w:rsidR="004002E3" w:rsidRPr="009209F4" w:rsidRDefault="004002E3" w:rsidP="006C059D">
      <w:pPr>
        <w:pStyle w:val="Heading3"/>
        <w:spacing w:after="0" w:line="240" w:lineRule="auto"/>
      </w:pPr>
      <w:r w:rsidRPr="009209F4">
        <w:tab/>
      </w:r>
      <w:r w:rsidR="008F6DCE" w:rsidRPr="009209F4">
        <w:t>Note</w:t>
      </w:r>
      <w:r w:rsidRPr="009209F4">
        <w:tab/>
      </w:r>
      <w:r w:rsidR="00991936" w:rsidRPr="009209F4">
        <w:t>20</w:t>
      </w:r>
      <w:r w:rsidR="00E74ED5" w:rsidRPr="009209F4">
        <w:t>20</w:t>
      </w:r>
      <w:r w:rsidRPr="009209F4">
        <w:tab/>
      </w:r>
      <w:r w:rsidR="008F6DCE" w:rsidRPr="009209F4">
        <w:t>20</w:t>
      </w:r>
      <w:r w:rsidR="00E74ED5" w:rsidRPr="009209F4">
        <w:t>19</w:t>
      </w:r>
    </w:p>
    <w:p w14:paraId="18958DA8" w14:textId="01A324D1" w:rsidR="00656BA7" w:rsidRPr="009209F4" w:rsidRDefault="004002E3" w:rsidP="006C059D">
      <w:pPr>
        <w:pStyle w:val="Heading3"/>
        <w:spacing w:after="0" w:line="240" w:lineRule="auto"/>
      </w:pPr>
      <w:r w:rsidRPr="009209F4">
        <w:tab/>
      </w:r>
      <w:r w:rsidRPr="009209F4">
        <w:tab/>
      </w:r>
      <w:r w:rsidR="008F6DCE" w:rsidRPr="009209F4">
        <w:t>£</w:t>
      </w:r>
      <w:r w:rsidRPr="009209F4">
        <w:tab/>
      </w:r>
      <w:r w:rsidR="008F6DCE" w:rsidRPr="009209F4">
        <w:t>£</w:t>
      </w:r>
    </w:p>
    <w:p w14:paraId="0234100E" w14:textId="20EE2BA1" w:rsidR="00F05C3B" w:rsidRPr="006C059D" w:rsidRDefault="00656BA7" w:rsidP="006C059D">
      <w:pPr>
        <w:pStyle w:val="Heading3"/>
        <w:spacing w:after="0" w:line="240" w:lineRule="auto"/>
        <w:rPr>
          <w:b/>
          <w:bCs/>
        </w:rPr>
      </w:pPr>
      <w:r w:rsidRPr="009209F4">
        <w:rPr>
          <w:b/>
          <w:bCs/>
        </w:rPr>
        <w:t>Receipts</w:t>
      </w:r>
      <w:r w:rsidR="00A761B3" w:rsidRPr="009209F4">
        <w:tab/>
      </w:r>
      <w:r w:rsidRPr="009209F4">
        <w:t>Donations and plate</w:t>
      </w:r>
      <w:r w:rsidR="00F05C3B" w:rsidRPr="009209F4">
        <w:t xml:space="preserve"> collection</w:t>
      </w:r>
      <w:r w:rsidR="00A761B3" w:rsidRPr="009209F4">
        <w:tab/>
      </w:r>
      <w:r w:rsidR="00CA1112" w:rsidRPr="009209F4">
        <w:t>1</w:t>
      </w:r>
      <w:r w:rsidR="00AB5BA9" w:rsidRPr="009209F4">
        <w:t>8,032.91</w:t>
      </w:r>
      <w:r w:rsidR="00A761B3" w:rsidRPr="009209F4">
        <w:tab/>
      </w:r>
      <w:r w:rsidR="00A13DFA" w:rsidRPr="009209F4">
        <w:t>19,</w:t>
      </w:r>
      <w:r w:rsidR="00991936" w:rsidRPr="009209F4">
        <w:t>8</w:t>
      </w:r>
      <w:r w:rsidR="00E74ED5" w:rsidRPr="009209F4">
        <w:t>61.87</w:t>
      </w:r>
    </w:p>
    <w:p w14:paraId="2258A2DC" w14:textId="016E3075" w:rsidR="008F6DCE" w:rsidRPr="009209F4" w:rsidRDefault="00A761B3" w:rsidP="006C059D">
      <w:pPr>
        <w:pStyle w:val="Heading3"/>
        <w:spacing w:after="0" w:line="240" w:lineRule="auto"/>
      </w:pPr>
      <w:r w:rsidRPr="009209F4">
        <w:tab/>
      </w:r>
      <w:r w:rsidR="009750F7" w:rsidRPr="009209F4">
        <w:t>Proceeds of</w:t>
      </w:r>
      <w:r w:rsidR="00656BA7" w:rsidRPr="009209F4">
        <w:t xml:space="preserve"> Fund</w:t>
      </w:r>
      <w:r w:rsidR="00F05C3B" w:rsidRPr="009209F4">
        <w:t xml:space="preserve"> Raising Events</w:t>
      </w:r>
      <w:r w:rsidR="009209F4">
        <w:t xml:space="preserve"> </w:t>
      </w:r>
      <w:r w:rsidR="00A11E3E" w:rsidRPr="009209F4">
        <w:t>3</w:t>
      </w:r>
      <w:r w:rsidRPr="009209F4">
        <w:tab/>
      </w:r>
      <w:r w:rsidR="00AB5BA9" w:rsidRPr="009209F4">
        <w:t>810.00</w:t>
      </w:r>
      <w:r w:rsidRPr="009209F4">
        <w:tab/>
      </w:r>
      <w:r w:rsidR="00A13DFA" w:rsidRPr="009209F4">
        <w:t xml:space="preserve"> </w:t>
      </w:r>
      <w:r w:rsidR="00E74ED5" w:rsidRPr="009209F4">
        <w:t>2</w:t>
      </w:r>
      <w:r w:rsidR="00A13DFA" w:rsidRPr="009209F4">
        <w:t>,</w:t>
      </w:r>
      <w:r w:rsidR="00E74ED5" w:rsidRPr="009209F4">
        <w:t>015.16</w:t>
      </w:r>
    </w:p>
    <w:p w14:paraId="3D6C8720" w14:textId="256AB45E" w:rsidR="00656BA7" w:rsidRPr="009209F4" w:rsidRDefault="00A761B3" w:rsidP="006C059D">
      <w:pPr>
        <w:pStyle w:val="Heading3"/>
        <w:spacing w:after="0" w:line="240" w:lineRule="auto"/>
      </w:pPr>
      <w:r w:rsidRPr="009209F4">
        <w:tab/>
      </w:r>
      <w:r w:rsidR="00656BA7" w:rsidRPr="009209F4">
        <w:t>Bank and Deposit interest</w:t>
      </w:r>
      <w:r w:rsidRPr="009209F4">
        <w:tab/>
      </w:r>
      <w:r w:rsidR="005C4C4B" w:rsidRPr="009209F4">
        <w:t>14</w:t>
      </w:r>
      <w:r w:rsidR="00AB5BA9" w:rsidRPr="009209F4">
        <w:t>7.</w:t>
      </w:r>
      <w:r w:rsidR="006148FC" w:rsidRPr="009209F4">
        <w:t>60</w:t>
      </w:r>
      <w:r w:rsidRPr="009209F4">
        <w:tab/>
      </w:r>
      <w:r w:rsidR="00E74ED5" w:rsidRPr="009209F4">
        <w:t>144.78</w:t>
      </w:r>
    </w:p>
    <w:p w14:paraId="07889FC2" w14:textId="09963B0B" w:rsidR="00656BA7" w:rsidRPr="009209F4" w:rsidRDefault="00E71B04" w:rsidP="006C059D">
      <w:pPr>
        <w:pStyle w:val="Heading3"/>
        <w:spacing w:after="0" w:line="240" w:lineRule="auto"/>
      </w:pPr>
      <w:r w:rsidRPr="009209F4">
        <w:tab/>
      </w:r>
      <w:r w:rsidR="00656BA7" w:rsidRPr="009209F4">
        <w:t>Rental of premises</w:t>
      </w:r>
      <w:r w:rsidR="00A761B3" w:rsidRPr="009209F4">
        <w:tab/>
      </w:r>
      <w:r w:rsidR="00AB5BA9" w:rsidRPr="009209F4">
        <w:t>0.00</w:t>
      </w:r>
      <w:r w:rsidR="00A761B3" w:rsidRPr="009209F4">
        <w:tab/>
      </w:r>
      <w:r w:rsidR="00E74ED5" w:rsidRPr="009209F4">
        <w:t>800.00</w:t>
      </w:r>
    </w:p>
    <w:p w14:paraId="1F6593BF" w14:textId="6363C4A6" w:rsidR="00C23907" w:rsidRPr="009209F4" w:rsidRDefault="00E71B04" w:rsidP="006C059D">
      <w:pPr>
        <w:pStyle w:val="Heading3"/>
        <w:spacing w:after="0" w:line="240" w:lineRule="auto"/>
      </w:pPr>
      <w:r w:rsidRPr="009209F4">
        <w:tab/>
        <w:t>Allocation of Graves</w:t>
      </w:r>
      <w:r w:rsidR="00A761B3" w:rsidRPr="009209F4">
        <w:tab/>
      </w:r>
      <w:r w:rsidR="00AB5BA9" w:rsidRPr="009209F4">
        <w:t>17,750.00</w:t>
      </w:r>
      <w:r w:rsidR="00A761B3" w:rsidRPr="009209F4">
        <w:tab/>
      </w:r>
      <w:r w:rsidR="00E74ED5" w:rsidRPr="009209F4">
        <w:t>9,930.00</w:t>
      </w:r>
    </w:p>
    <w:p w14:paraId="16E1B7B1" w14:textId="7B45B39E" w:rsidR="00656BA7" w:rsidRPr="009209F4" w:rsidRDefault="00A761B3" w:rsidP="006C059D">
      <w:pPr>
        <w:pStyle w:val="Heading3"/>
        <w:spacing w:after="0" w:line="240" w:lineRule="auto"/>
      </w:pPr>
      <w:r w:rsidRPr="009209F4">
        <w:tab/>
      </w:r>
      <w:r w:rsidR="00656BA7" w:rsidRPr="009209F4">
        <w:t>Other Receipts</w:t>
      </w:r>
      <w:r w:rsidRPr="009209F4">
        <w:tab/>
      </w:r>
      <w:r w:rsidR="00AB5BA9" w:rsidRPr="009209F4">
        <w:t>646.32</w:t>
      </w:r>
      <w:r w:rsidRPr="009209F4">
        <w:tab/>
      </w:r>
      <w:r w:rsidR="00E74ED5" w:rsidRPr="009209F4">
        <w:t>2,853.06</w:t>
      </w:r>
    </w:p>
    <w:p w14:paraId="60A7C0C6" w14:textId="16CBD578" w:rsidR="00B56629" w:rsidRPr="009209F4" w:rsidRDefault="00B56629" w:rsidP="006C059D">
      <w:pPr>
        <w:pStyle w:val="Heading3"/>
        <w:spacing w:after="0" w:line="240" w:lineRule="auto"/>
      </w:pPr>
      <w:r w:rsidRPr="009209F4">
        <w:tab/>
        <w:t>Gift Aid Receipt</w:t>
      </w:r>
      <w:r w:rsidRPr="009209F4">
        <w:tab/>
      </w:r>
      <w:r w:rsidR="00AB5BA9" w:rsidRPr="009209F4">
        <w:t>0.00</w:t>
      </w:r>
      <w:r w:rsidRPr="009209F4">
        <w:tab/>
      </w:r>
      <w:r w:rsidR="00E74ED5" w:rsidRPr="009209F4">
        <w:t>12,954.92</w:t>
      </w:r>
    </w:p>
    <w:p w14:paraId="6C50C8B4" w14:textId="53B34F18" w:rsidR="00656BA7" w:rsidRPr="009209F4" w:rsidRDefault="00A132E4" w:rsidP="006C059D">
      <w:pPr>
        <w:pStyle w:val="Heading3"/>
        <w:spacing w:after="0" w:line="240" w:lineRule="auto"/>
      </w:pPr>
      <w:r w:rsidRPr="009209F4">
        <w:rPr>
          <w:b/>
          <w:bCs/>
        </w:rPr>
        <w:t>Total Receipts</w:t>
      </w:r>
      <w:r w:rsidR="004002E3" w:rsidRPr="009209F4">
        <w:tab/>
      </w:r>
      <w:r w:rsidR="00F05C3B" w:rsidRPr="009209F4">
        <w:tab/>
      </w:r>
      <w:r w:rsidR="00AB5BA9" w:rsidRPr="009209F4">
        <w:t>37,386.</w:t>
      </w:r>
      <w:r w:rsidR="006148FC" w:rsidRPr="009209F4">
        <w:t>83</w:t>
      </w:r>
      <w:r w:rsidR="004002E3" w:rsidRPr="009209F4">
        <w:tab/>
      </w:r>
      <w:r w:rsidR="00991936" w:rsidRPr="009209F4">
        <w:t>4</w:t>
      </w:r>
      <w:r w:rsidR="00E74ED5" w:rsidRPr="009209F4">
        <w:t>8,559.79</w:t>
      </w:r>
    </w:p>
    <w:p w14:paraId="7230A590" w14:textId="5DD6CD69" w:rsidR="00656BA7" w:rsidRPr="009209F4" w:rsidRDefault="00656BA7" w:rsidP="006C059D">
      <w:pPr>
        <w:pStyle w:val="Heading3"/>
        <w:spacing w:after="0" w:line="240" w:lineRule="auto"/>
      </w:pPr>
    </w:p>
    <w:p w14:paraId="424C917F" w14:textId="6C0C8625" w:rsidR="00656BA7" w:rsidRPr="006C059D" w:rsidRDefault="00656BA7" w:rsidP="006C059D">
      <w:pPr>
        <w:pStyle w:val="Heading3"/>
        <w:spacing w:after="0" w:line="240" w:lineRule="auto"/>
        <w:rPr>
          <w:b/>
          <w:bCs/>
        </w:rPr>
      </w:pPr>
      <w:r w:rsidRPr="009209F4">
        <w:rPr>
          <w:b/>
          <w:bCs/>
        </w:rPr>
        <w:t>Payments</w:t>
      </w:r>
      <w:r w:rsidR="004002E3" w:rsidRPr="009209F4">
        <w:tab/>
      </w:r>
      <w:r w:rsidRPr="009209F4">
        <w:t>Salaries</w:t>
      </w:r>
      <w:r w:rsidR="004002E3" w:rsidRPr="009209F4">
        <w:tab/>
      </w:r>
      <w:r w:rsidR="00AB5BA9" w:rsidRPr="009209F4">
        <w:t>12,273.00</w:t>
      </w:r>
      <w:r w:rsidR="004002E3" w:rsidRPr="009209F4">
        <w:tab/>
      </w:r>
      <w:r w:rsidR="00283C5F" w:rsidRPr="009209F4">
        <w:t>1</w:t>
      </w:r>
      <w:r w:rsidR="00E74ED5" w:rsidRPr="009209F4">
        <w:t>2,056.88</w:t>
      </w:r>
    </w:p>
    <w:p w14:paraId="0E769E31" w14:textId="6ED09599" w:rsidR="00656BA7" w:rsidRPr="009209F4" w:rsidRDefault="004002E3" w:rsidP="006C059D">
      <w:pPr>
        <w:pStyle w:val="Heading3"/>
        <w:spacing w:after="0" w:line="240" w:lineRule="auto"/>
      </w:pPr>
      <w:r w:rsidRPr="009209F4">
        <w:tab/>
      </w:r>
      <w:r w:rsidR="00656BA7" w:rsidRPr="009209F4">
        <w:t>Diocesan Costs/Assessment</w:t>
      </w:r>
      <w:r w:rsidRPr="009209F4">
        <w:tab/>
      </w:r>
      <w:r w:rsidR="00AB5BA9" w:rsidRPr="009209F4">
        <w:t>1,852.19</w:t>
      </w:r>
      <w:r w:rsidRPr="009209F4">
        <w:tab/>
      </w:r>
      <w:r w:rsidR="00283C5F" w:rsidRPr="009209F4">
        <w:t>2,</w:t>
      </w:r>
      <w:r w:rsidR="00FE3220" w:rsidRPr="009209F4">
        <w:t>2</w:t>
      </w:r>
      <w:r w:rsidR="00991936" w:rsidRPr="009209F4">
        <w:t>17</w:t>
      </w:r>
      <w:r w:rsidR="00E74ED5" w:rsidRPr="009209F4">
        <w:t>.59</w:t>
      </w:r>
    </w:p>
    <w:p w14:paraId="779F643C" w14:textId="0AD65885" w:rsidR="00656BA7" w:rsidRPr="009209F4" w:rsidRDefault="004002E3" w:rsidP="006C059D">
      <w:pPr>
        <w:pStyle w:val="Heading3"/>
        <w:spacing w:after="0" w:line="240" w:lineRule="auto"/>
      </w:pPr>
      <w:r w:rsidRPr="009209F4">
        <w:tab/>
      </w:r>
      <w:r w:rsidR="00656BA7" w:rsidRPr="009209F4">
        <w:t>Church Running Costs</w:t>
      </w:r>
      <w:r w:rsidRPr="009209F4">
        <w:tab/>
      </w:r>
      <w:r w:rsidR="00AB5BA9" w:rsidRPr="009209F4">
        <w:t>25,720.88</w:t>
      </w:r>
      <w:r w:rsidRPr="009209F4">
        <w:tab/>
      </w:r>
      <w:r w:rsidR="00F31C56" w:rsidRPr="009209F4">
        <w:t>1</w:t>
      </w:r>
      <w:r w:rsidR="00E74ED5" w:rsidRPr="009209F4">
        <w:t>4,283.16</w:t>
      </w:r>
    </w:p>
    <w:p w14:paraId="38D558F8" w14:textId="4520B520" w:rsidR="00656BA7" w:rsidRPr="009209F4" w:rsidRDefault="004002E3" w:rsidP="006C059D">
      <w:pPr>
        <w:pStyle w:val="Heading3"/>
        <w:spacing w:after="0" w:line="240" w:lineRule="auto"/>
      </w:pPr>
      <w:r w:rsidRPr="009209F4">
        <w:tab/>
      </w:r>
      <w:r w:rsidR="00656BA7" w:rsidRPr="009209F4">
        <w:t>Administration Costs</w:t>
      </w:r>
      <w:r w:rsidR="009209F4">
        <w:t xml:space="preserve"> </w:t>
      </w:r>
      <w:r w:rsidR="00A11E3E" w:rsidRPr="009209F4">
        <w:t>4</w:t>
      </w:r>
      <w:r w:rsidRPr="009209F4">
        <w:tab/>
      </w:r>
      <w:r w:rsidR="007514FE" w:rsidRPr="009209F4">
        <w:t>0.00</w:t>
      </w:r>
      <w:r w:rsidRPr="009209F4">
        <w:tab/>
      </w:r>
      <w:r w:rsidR="00FE3220" w:rsidRPr="009209F4">
        <w:t>0.00</w:t>
      </w:r>
    </w:p>
    <w:p w14:paraId="6BC2EFA4" w14:textId="56F14448" w:rsidR="00656BA7" w:rsidRPr="009209F4" w:rsidRDefault="004002E3" w:rsidP="006C059D">
      <w:pPr>
        <w:pStyle w:val="Heading3"/>
        <w:spacing w:after="0" w:line="240" w:lineRule="auto"/>
      </w:pPr>
      <w:r w:rsidRPr="009209F4">
        <w:tab/>
      </w:r>
      <w:r w:rsidR="00656BA7" w:rsidRPr="009209F4">
        <w:t>Charitable Donations</w:t>
      </w:r>
      <w:r w:rsidR="009209F4">
        <w:t xml:space="preserve"> </w:t>
      </w:r>
      <w:r w:rsidR="00A11E3E" w:rsidRPr="009209F4">
        <w:t>3</w:t>
      </w:r>
      <w:r w:rsidRPr="009209F4">
        <w:tab/>
      </w:r>
      <w:r w:rsidR="00AB5BA9" w:rsidRPr="009209F4">
        <w:t>0.00</w:t>
      </w:r>
      <w:r w:rsidRPr="009209F4">
        <w:tab/>
      </w:r>
      <w:r w:rsidR="00E74ED5" w:rsidRPr="009209F4">
        <w:t>1,800</w:t>
      </w:r>
      <w:r w:rsidR="00FE3220" w:rsidRPr="009209F4">
        <w:t>.00</w:t>
      </w:r>
    </w:p>
    <w:p w14:paraId="307066B5" w14:textId="55E7D6DA" w:rsidR="008F6DCE" w:rsidRPr="009209F4" w:rsidRDefault="004002E3" w:rsidP="006C059D">
      <w:pPr>
        <w:pStyle w:val="Heading3"/>
        <w:spacing w:after="0" w:line="240" w:lineRule="auto"/>
      </w:pPr>
      <w:r w:rsidRPr="009209F4">
        <w:tab/>
      </w:r>
      <w:r w:rsidR="009750F7" w:rsidRPr="009209F4">
        <w:t xml:space="preserve">Payments by </w:t>
      </w:r>
      <w:r w:rsidR="00656BA7" w:rsidRPr="009209F4">
        <w:t>Parish</w:t>
      </w:r>
      <w:r w:rsidR="00F05C3B" w:rsidRPr="009209F4">
        <w:t xml:space="preserve"> Organisations</w:t>
      </w:r>
      <w:r w:rsidRPr="009209F4">
        <w:tab/>
      </w:r>
      <w:r w:rsidR="00F8120A" w:rsidRPr="009209F4">
        <w:t>0.00</w:t>
      </w:r>
      <w:r w:rsidRPr="009209F4">
        <w:tab/>
      </w:r>
      <w:r w:rsidR="00FE3220" w:rsidRPr="009209F4">
        <w:t>0.00</w:t>
      </w:r>
    </w:p>
    <w:p w14:paraId="6320F89B" w14:textId="4F2E421B" w:rsidR="00AC6C1E" w:rsidRPr="009209F4" w:rsidRDefault="004002E3" w:rsidP="006C059D">
      <w:pPr>
        <w:pStyle w:val="Heading3"/>
        <w:spacing w:after="0" w:line="240" w:lineRule="auto"/>
      </w:pPr>
      <w:r w:rsidRPr="009209F4">
        <w:tab/>
      </w:r>
      <w:r w:rsidR="00AC6C1E" w:rsidRPr="009209F4">
        <w:t>Grass Cutting</w:t>
      </w:r>
      <w:r w:rsidRPr="009209F4">
        <w:tab/>
      </w:r>
      <w:r w:rsidR="005C4C4B" w:rsidRPr="009209F4">
        <w:t>1,</w:t>
      </w:r>
      <w:r w:rsidR="00AB5BA9" w:rsidRPr="009209F4">
        <w:t>040.00</w:t>
      </w:r>
      <w:r w:rsidRPr="009209F4">
        <w:tab/>
      </w:r>
      <w:r w:rsidR="00F31C56" w:rsidRPr="009209F4">
        <w:t>1,</w:t>
      </w:r>
      <w:r w:rsidR="00E74ED5" w:rsidRPr="009209F4">
        <w:t>820</w:t>
      </w:r>
      <w:r w:rsidR="00BA65BA" w:rsidRPr="009209F4">
        <w:t>.00</w:t>
      </w:r>
    </w:p>
    <w:p w14:paraId="45D5EDE8" w14:textId="0804C184" w:rsidR="00E74ED5" w:rsidRPr="009209F4" w:rsidRDefault="004002E3" w:rsidP="006C059D">
      <w:pPr>
        <w:pStyle w:val="Heading3"/>
        <w:spacing w:after="0" w:line="240" w:lineRule="auto"/>
      </w:pPr>
      <w:r w:rsidRPr="009209F4">
        <w:tab/>
      </w:r>
      <w:r w:rsidR="00AC6C1E" w:rsidRPr="009209F4">
        <w:t>Bank Fees</w:t>
      </w:r>
      <w:r w:rsidRPr="009209F4">
        <w:tab/>
      </w:r>
      <w:r w:rsidR="00AB5BA9" w:rsidRPr="009209F4">
        <w:t>79.31</w:t>
      </w:r>
      <w:r w:rsidRPr="009209F4">
        <w:tab/>
      </w:r>
      <w:r w:rsidR="00F31C56" w:rsidRPr="009209F4">
        <w:t>9</w:t>
      </w:r>
      <w:r w:rsidR="00E74ED5" w:rsidRPr="009209F4">
        <w:t>1.64</w:t>
      </w:r>
    </w:p>
    <w:p w14:paraId="626A7904" w14:textId="187EF8C2" w:rsidR="00BA65BA" w:rsidRPr="009209F4" w:rsidRDefault="004002E3" w:rsidP="006C059D">
      <w:pPr>
        <w:pStyle w:val="Heading3"/>
        <w:spacing w:after="0" w:line="240" w:lineRule="auto"/>
      </w:pPr>
      <w:r w:rsidRPr="009209F4">
        <w:tab/>
      </w:r>
    </w:p>
    <w:p w14:paraId="29B17EFD" w14:textId="455735F1" w:rsidR="00F05C3B" w:rsidRPr="009750F7" w:rsidRDefault="00F05C3B" w:rsidP="006C059D">
      <w:pPr>
        <w:pStyle w:val="Heading3"/>
        <w:spacing w:after="0" w:line="240" w:lineRule="auto"/>
      </w:pPr>
      <w:r w:rsidRPr="009209F4">
        <w:rPr>
          <w:b/>
          <w:bCs/>
        </w:rPr>
        <w:t>Total Payments</w:t>
      </w:r>
      <w:r w:rsidR="009209F4">
        <w:tab/>
      </w:r>
      <w:r w:rsidR="00AB5BA9">
        <w:t>40,965.38</w:t>
      </w:r>
      <w:r w:rsidR="00F31C56">
        <w:tab/>
      </w:r>
      <w:r w:rsidR="00E74ED5">
        <w:t>32,269.27</w:t>
      </w:r>
    </w:p>
    <w:p w14:paraId="196173B9" w14:textId="78B1D83C" w:rsidR="00656BA7" w:rsidRPr="009750F7" w:rsidRDefault="00656BA7" w:rsidP="006C059D">
      <w:pPr>
        <w:pStyle w:val="Heading3"/>
        <w:spacing w:after="0" w:line="240" w:lineRule="auto"/>
      </w:pPr>
    </w:p>
    <w:p w14:paraId="277ED8C5" w14:textId="55BDABAD" w:rsidR="009209F4" w:rsidRPr="009750F7" w:rsidRDefault="00656BA7" w:rsidP="006C059D">
      <w:pPr>
        <w:pStyle w:val="Heading3"/>
        <w:spacing w:after="0" w:line="240" w:lineRule="auto"/>
      </w:pPr>
      <w:r w:rsidRPr="009209F4">
        <w:rPr>
          <w:b/>
          <w:bCs/>
        </w:rPr>
        <w:t>Excess of Receipts over Payments</w:t>
      </w:r>
      <w:r w:rsidR="00A11E3E" w:rsidRPr="009750F7">
        <w:t xml:space="preserve"> </w:t>
      </w:r>
      <w:r w:rsidR="00B247D7">
        <w:tab/>
      </w:r>
      <w:r w:rsidR="006148FC">
        <w:t>(3,578.55)</w:t>
      </w:r>
      <w:r w:rsidR="00B247D7">
        <w:tab/>
      </w:r>
      <w:r w:rsidR="00F31C56">
        <w:t>1</w:t>
      </w:r>
      <w:r w:rsidR="00E74ED5">
        <w:t>6,290.52</w:t>
      </w:r>
      <w:r w:rsidR="009750F7">
        <w:br/>
      </w:r>
      <w:r w:rsidR="00A11E3E" w:rsidRPr="009209F4">
        <w:rPr>
          <w:b/>
          <w:bCs/>
        </w:rPr>
        <w:t>for the year</w:t>
      </w:r>
      <w:r w:rsidR="00A11E3E" w:rsidRPr="009750F7">
        <w:tab/>
      </w:r>
      <w:r w:rsidR="00A11E3E" w:rsidRPr="009750F7">
        <w:tab/>
      </w:r>
      <w:r w:rsidR="00A11E3E" w:rsidRPr="009750F7">
        <w:tab/>
      </w:r>
    </w:p>
    <w:p w14:paraId="747222C3" w14:textId="0834811D" w:rsidR="00656BA7" w:rsidRPr="006C059D" w:rsidRDefault="00656BA7" w:rsidP="006C059D">
      <w:pPr>
        <w:pStyle w:val="Heading1"/>
      </w:pPr>
      <w:r w:rsidRPr="006C059D">
        <w:t>Statement of Assets and Li</w:t>
      </w:r>
      <w:r w:rsidR="00F31C56" w:rsidRPr="006C059D">
        <w:t xml:space="preserve">abilities as </w:t>
      </w:r>
      <w:proofErr w:type="gramStart"/>
      <w:r w:rsidR="00F31C56" w:rsidRPr="006C059D">
        <w:t>at</w:t>
      </w:r>
      <w:proofErr w:type="gramEnd"/>
      <w:r w:rsidR="00F31C56" w:rsidRPr="006C059D">
        <w:t xml:space="preserve"> 31 December 20</w:t>
      </w:r>
      <w:r w:rsidR="00E74ED5" w:rsidRPr="006C059D">
        <w:t>20</w:t>
      </w:r>
    </w:p>
    <w:tbl>
      <w:tblPr>
        <w:tblStyle w:val="TableGrid"/>
        <w:tblW w:w="0" w:type="auto"/>
        <w:tblLook w:val="04A0" w:firstRow="1" w:lastRow="0" w:firstColumn="1" w:lastColumn="0" w:noHBand="0" w:noVBand="1"/>
      </w:tblPr>
      <w:tblGrid>
        <w:gridCol w:w="2802"/>
        <w:gridCol w:w="31"/>
        <w:gridCol w:w="564"/>
        <w:gridCol w:w="2098"/>
        <w:gridCol w:w="11"/>
        <w:gridCol w:w="21"/>
        <w:gridCol w:w="3115"/>
      </w:tblGrid>
      <w:tr w:rsidR="00423BCD" w:rsidRPr="006C059D" w14:paraId="78056824" w14:textId="77777777" w:rsidTr="00D107E1">
        <w:trPr>
          <w:trHeight w:val="460"/>
        </w:trPr>
        <w:tc>
          <w:tcPr>
            <w:tcW w:w="2802" w:type="dxa"/>
          </w:tcPr>
          <w:p w14:paraId="59AC7D9D" w14:textId="77777777" w:rsidR="00FC03E2" w:rsidRPr="006C059D" w:rsidRDefault="00FC03E2" w:rsidP="0056259C">
            <w:pPr>
              <w:rPr>
                <w:sz w:val="22"/>
                <w:szCs w:val="22"/>
              </w:rPr>
            </w:pPr>
          </w:p>
        </w:tc>
        <w:tc>
          <w:tcPr>
            <w:tcW w:w="595" w:type="dxa"/>
            <w:gridSpan w:val="2"/>
          </w:tcPr>
          <w:p w14:paraId="495BC3BB" w14:textId="77777777" w:rsidR="00FC03E2" w:rsidRPr="006C059D" w:rsidRDefault="00FC03E2" w:rsidP="0056259C">
            <w:pPr>
              <w:rPr>
                <w:sz w:val="22"/>
                <w:szCs w:val="22"/>
              </w:rPr>
            </w:pPr>
          </w:p>
        </w:tc>
        <w:tc>
          <w:tcPr>
            <w:tcW w:w="2109" w:type="dxa"/>
            <w:gridSpan w:val="2"/>
          </w:tcPr>
          <w:p w14:paraId="7EF84250" w14:textId="61BE52E5" w:rsidR="00FC03E2" w:rsidRPr="00D107E1" w:rsidRDefault="00FC03E2" w:rsidP="00D107E1">
            <w:pPr>
              <w:jc w:val="right"/>
              <w:rPr>
                <w:b/>
                <w:bCs/>
                <w:sz w:val="22"/>
                <w:szCs w:val="22"/>
              </w:rPr>
            </w:pPr>
            <w:r w:rsidRPr="00D107E1">
              <w:rPr>
                <w:b/>
                <w:bCs/>
                <w:sz w:val="22"/>
                <w:szCs w:val="22"/>
              </w:rPr>
              <w:t>Total</w:t>
            </w:r>
            <w:r w:rsidR="006C059D" w:rsidRPr="00D107E1">
              <w:rPr>
                <w:b/>
                <w:bCs/>
                <w:sz w:val="22"/>
                <w:szCs w:val="22"/>
              </w:rPr>
              <w:t xml:space="preserve"> </w:t>
            </w:r>
            <w:r w:rsidRPr="00D107E1">
              <w:rPr>
                <w:b/>
                <w:bCs/>
                <w:sz w:val="22"/>
                <w:szCs w:val="22"/>
              </w:rPr>
              <w:t>20</w:t>
            </w:r>
            <w:r w:rsidR="00E74ED5" w:rsidRPr="00D107E1">
              <w:rPr>
                <w:b/>
                <w:bCs/>
                <w:sz w:val="22"/>
                <w:szCs w:val="22"/>
              </w:rPr>
              <w:t>20</w:t>
            </w:r>
            <w:r w:rsidR="006C059D" w:rsidRPr="00D107E1">
              <w:rPr>
                <w:b/>
                <w:bCs/>
                <w:sz w:val="22"/>
                <w:szCs w:val="22"/>
              </w:rPr>
              <w:t xml:space="preserve"> </w:t>
            </w:r>
            <w:r w:rsidRPr="00D107E1">
              <w:rPr>
                <w:b/>
                <w:bCs/>
                <w:sz w:val="22"/>
                <w:szCs w:val="22"/>
              </w:rPr>
              <w:t>£</w:t>
            </w:r>
          </w:p>
        </w:tc>
        <w:tc>
          <w:tcPr>
            <w:tcW w:w="3136" w:type="dxa"/>
            <w:gridSpan w:val="2"/>
          </w:tcPr>
          <w:p w14:paraId="04381EE2" w14:textId="6AB343C4" w:rsidR="00FC03E2" w:rsidRPr="00D107E1" w:rsidRDefault="00FC03E2" w:rsidP="00D107E1">
            <w:pPr>
              <w:jc w:val="right"/>
              <w:rPr>
                <w:b/>
                <w:bCs/>
                <w:sz w:val="22"/>
                <w:szCs w:val="22"/>
              </w:rPr>
            </w:pPr>
            <w:r w:rsidRPr="00D107E1">
              <w:rPr>
                <w:b/>
                <w:bCs/>
                <w:sz w:val="22"/>
                <w:szCs w:val="22"/>
              </w:rPr>
              <w:t>Total</w:t>
            </w:r>
            <w:r w:rsidR="006C059D" w:rsidRPr="00D107E1">
              <w:rPr>
                <w:b/>
                <w:bCs/>
                <w:sz w:val="22"/>
                <w:szCs w:val="22"/>
              </w:rPr>
              <w:t xml:space="preserve"> </w:t>
            </w:r>
            <w:r w:rsidRPr="00D107E1">
              <w:rPr>
                <w:b/>
                <w:bCs/>
                <w:sz w:val="22"/>
                <w:szCs w:val="22"/>
              </w:rPr>
              <w:t>201</w:t>
            </w:r>
            <w:r w:rsidR="00E74ED5" w:rsidRPr="00D107E1">
              <w:rPr>
                <w:b/>
                <w:bCs/>
                <w:sz w:val="22"/>
                <w:szCs w:val="22"/>
              </w:rPr>
              <w:t>9</w:t>
            </w:r>
            <w:r w:rsidR="006C059D" w:rsidRPr="00D107E1">
              <w:rPr>
                <w:b/>
                <w:bCs/>
                <w:sz w:val="22"/>
                <w:szCs w:val="22"/>
              </w:rPr>
              <w:t xml:space="preserve"> </w:t>
            </w:r>
            <w:r w:rsidRPr="00D107E1">
              <w:rPr>
                <w:b/>
                <w:bCs/>
                <w:sz w:val="22"/>
                <w:szCs w:val="22"/>
              </w:rPr>
              <w:t>£</w:t>
            </w:r>
          </w:p>
        </w:tc>
      </w:tr>
      <w:tr w:rsidR="00423BCD" w:rsidRPr="006C059D" w14:paraId="19FFDA77" w14:textId="77777777" w:rsidTr="00D107E1">
        <w:tc>
          <w:tcPr>
            <w:tcW w:w="2802" w:type="dxa"/>
          </w:tcPr>
          <w:p w14:paraId="02791515" w14:textId="77777777" w:rsidR="00FC03E2" w:rsidRPr="00D107E1" w:rsidRDefault="00FC03E2" w:rsidP="0056259C">
            <w:pPr>
              <w:rPr>
                <w:b/>
                <w:bCs/>
                <w:sz w:val="22"/>
                <w:szCs w:val="22"/>
              </w:rPr>
            </w:pPr>
            <w:r w:rsidRPr="00D107E1">
              <w:rPr>
                <w:b/>
                <w:bCs/>
                <w:sz w:val="22"/>
                <w:szCs w:val="22"/>
              </w:rPr>
              <w:t>Cash Funds</w:t>
            </w:r>
          </w:p>
        </w:tc>
        <w:tc>
          <w:tcPr>
            <w:tcW w:w="595" w:type="dxa"/>
            <w:gridSpan w:val="2"/>
          </w:tcPr>
          <w:p w14:paraId="7A2A7E99" w14:textId="77777777" w:rsidR="00FC03E2" w:rsidRPr="006C059D" w:rsidRDefault="00FC03E2" w:rsidP="0056259C">
            <w:pPr>
              <w:rPr>
                <w:sz w:val="22"/>
                <w:szCs w:val="22"/>
              </w:rPr>
            </w:pPr>
          </w:p>
        </w:tc>
        <w:tc>
          <w:tcPr>
            <w:tcW w:w="2109" w:type="dxa"/>
            <w:gridSpan w:val="2"/>
          </w:tcPr>
          <w:p w14:paraId="4B47A7B9" w14:textId="77777777" w:rsidR="00FC03E2" w:rsidRPr="006C059D" w:rsidRDefault="00FC03E2" w:rsidP="00D107E1">
            <w:pPr>
              <w:jc w:val="right"/>
              <w:rPr>
                <w:sz w:val="22"/>
                <w:szCs w:val="22"/>
              </w:rPr>
            </w:pPr>
          </w:p>
        </w:tc>
        <w:tc>
          <w:tcPr>
            <w:tcW w:w="3136" w:type="dxa"/>
            <w:gridSpan w:val="2"/>
          </w:tcPr>
          <w:p w14:paraId="16FA4398" w14:textId="77777777" w:rsidR="00FC03E2" w:rsidRPr="006C059D" w:rsidRDefault="00FC03E2" w:rsidP="00D107E1">
            <w:pPr>
              <w:jc w:val="right"/>
              <w:rPr>
                <w:sz w:val="22"/>
                <w:szCs w:val="22"/>
              </w:rPr>
            </w:pPr>
          </w:p>
        </w:tc>
      </w:tr>
      <w:tr w:rsidR="00423BCD" w:rsidRPr="006C059D" w14:paraId="1CEB42B8" w14:textId="77777777" w:rsidTr="00D107E1">
        <w:tc>
          <w:tcPr>
            <w:tcW w:w="2802" w:type="dxa"/>
          </w:tcPr>
          <w:p w14:paraId="076CBC35" w14:textId="77777777" w:rsidR="00FC03E2" w:rsidRPr="006C059D" w:rsidRDefault="00FC03E2" w:rsidP="0056259C">
            <w:pPr>
              <w:rPr>
                <w:sz w:val="22"/>
                <w:szCs w:val="22"/>
              </w:rPr>
            </w:pPr>
            <w:r w:rsidRPr="006C059D">
              <w:rPr>
                <w:sz w:val="22"/>
                <w:szCs w:val="22"/>
              </w:rPr>
              <w:t>Current Accounts</w:t>
            </w:r>
          </w:p>
        </w:tc>
        <w:tc>
          <w:tcPr>
            <w:tcW w:w="595" w:type="dxa"/>
            <w:gridSpan w:val="2"/>
          </w:tcPr>
          <w:p w14:paraId="717D00D6" w14:textId="77777777" w:rsidR="00FC03E2" w:rsidRPr="006C059D" w:rsidRDefault="00FC03E2" w:rsidP="0056259C">
            <w:pPr>
              <w:rPr>
                <w:sz w:val="22"/>
                <w:szCs w:val="22"/>
              </w:rPr>
            </w:pPr>
          </w:p>
        </w:tc>
        <w:tc>
          <w:tcPr>
            <w:tcW w:w="2109" w:type="dxa"/>
            <w:gridSpan w:val="2"/>
          </w:tcPr>
          <w:p w14:paraId="63960BCC" w14:textId="77115560" w:rsidR="00FC03E2" w:rsidRPr="006C059D" w:rsidRDefault="005C4C4B" w:rsidP="00D107E1">
            <w:pPr>
              <w:jc w:val="right"/>
              <w:rPr>
                <w:sz w:val="22"/>
                <w:szCs w:val="22"/>
              </w:rPr>
            </w:pPr>
            <w:r w:rsidRPr="006C059D">
              <w:rPr>
                <w:sz w:val="22"/>
                <w:szCs w:val="22"/>
              </w:rPr>
              <w:t>5</w:t>
            </w:r>
            <w:r w:rsidR="006148FC" w:rsidRPr="006C059D">
              <w:rPr>
                <w:sz w:val="22"/>
                <w:szCs w:val="22"/>
              </w:rPr>
              <w:t>3,881.94</w:t>
            </w:r>
          </w:p>
        </w:tc>
        <w:tc>
          <w:tcPr>
            <w:tcW w:w="3136" w:type="dxa"/>
            <w:gridSpan w:val="2"/>
          </w:tcPr>
          <w:p w14:paraId="0E4F8D45" w14:textId="1F6FCBB6" w:rsidR="00FC03E2" w:rsidRPr="006C059D" w:rsidRDefault="00E74ED5" w:rsidP="00D107E1">
            <w:pPr>
              <w:jc w:val="right"/>
              <w:rPr>
                <w:sz w:val="22"/>
                <w:szCs w:val="22"/>
              </w:rPr>
            </w:pPr>
            <w:r w:rsidRPr="006C059D">
              <w:rPr>
                <w:sz w:val="22"/>
                <w:szCs w:val="22"/>
              </w:rPr>
              <w:t>57,970.50</w:t>
            </w:r>
          </w:p>
        </w:tc>
      </w:tr>
      <w:tr w:rsidR="00423BCD" w:rsidRPr="006C059D" w14:paraId="7FD8B0B7" w14:textId="77777777" w:rsidTr="00D107E1">
        <w:trPr>
          <w:trHeight w:val="360"/>
        </w:trPr>
        <w:tc>
          <w:tcPr>
            <w:tcW w:w="2802" w:type="dxa"/>
          </w:tcPr>
          <w:p w14:paraId="086B5E98" w14:textId="64C95A2F" w:rsidR="00FC03E2" w:rsidRPr="006C059D" w:rsidRDefault="00FC03E2" w:rsidP="0056259C">
            <w:pPr>
              <w:rPr>
                <w:sz w:val="22"/>
                <w:szCs w:val="22"/>
              </w:rPr>
            </w:pPr>
            <w:r w:rsidRPr="006C059D">
              <w:rPr>
                <w:sz w:val="22"/>
                <w:szCs w:val="22"/>
              </w:rPr>
              <w:t>Deposit Accounts</w:t>
            </w:r>
          </w:p>
        </w:tc>
        <w:tc>
          <w:tcPr>
            <w:tcW w:w="595" w:type="dxa"/>
            <w:gridSpan w:val="2"/>
          </w:tcPr>
          <w:p w14:paraId="1A18A737" w14:textId="77777777" w:rsidR="00FC03E2" w:rsidRPr="006C059D" w:rsidRDefault="00FC03E2" w:rsidP="0056259C">
            <w:pPr>
              <w:rPr>
                <w:sz w:val="22"/>
                <w:szCs w:val="22"/>
              </w:rPr>
            </w:pPr>
          </w:p>
        </w:tc>
        <w:tc>
          <w:tcPr>
            <w:tcW w:w="2109" w:type="dxa"/>
            <w:gridSpan w:val="2"/>
          </w:tcPr>
          <w:p w14:paraId="3ED3B316" w14:textId="345CEFB1" w:rsidR="00FC03E2" w:rsidRPr="006C059D" w:rsidRDefault="005C4C4B" w:rsidP="00D107E1">
            <w:pPr>
              <w:jc w:val="right"/>
              <w:rPr>
                <w:sz w:val="22"/>
                <w:szCs w:val="22"/>
              </w:rPr>
            </w:pPr>
            <w:r w:rsidRPr="006C059D">
              <w:rPr>
                <w:sz w:val="22"/>
                <w:szCs w:val="22"/>
              </w:rPr>
              <w:t>45.5</w:t>
            </w:r>
            <w:r w:rsidR="006148FC" w:rsidRPr="006C059D">
              <w:rPr>
                <w:sz w:val="22"/>
                <w:szCs w:val="22"/>
              </w:rPr>
              <w:t>9</w:t>
            </w:r>
          </w:p>
        </w:tc>
        <w:tc>
          <w:tcPr>
            <w:tcW w:w="3136" w:type="dxa"/>
            <w:gridSpan w:val="2"/>
          </w:tcPr>
          <w:p w14:paraId="5A8A1F1E" w14:textId="3D2599E3" w:rsidR="00FC03E2" w:rsidRPr="006C059D" w:rsidRDefault="00F31C56" w:rsidP="00D107E1">
            <w:pPr>
              <w:jc w:val="right"/>
              <w:rPr>
                <w:sz w:val="22"/>
                <w:szCs w:val="22"/>
              </w:rPr>
            </w:pPr>
            <w:r w:rsidRPr="006C059D">
              <w:rPr>
                <w:sz w:val="22"/>
                <w:szCs w:val="22"/>
              </w:rPr>
              <w:t>45.</w:t>
            </w:r>
            <w:r w:rsidR="00E74ED5" w:rsidRPr="006C059D">
              <w:rPr>
                <w:sz w:val="22"/>
                <w:szCs w:val="22"/>
              </w:rPr>
              <w:t>58</w:t>
            </w:r>
          </w:p>
        </w:tc>
      </w:tr>
      <w:tr w:rsidR="00423BCD" w:rsidRPr="006C059D" w14:paraId="592ABD2F" w14:textId="77777777" w:rsidTr="00D107E1">
        <w:trPr>
          <w:trHeight w:val="305"/>
        </w:trPr>
        <w:tc>
          <w:tcPr>
            <w:tcW w:w="2802" w:type="dxa"/>
          </w:tcPr>
          <w:p w14:paraId="37004F1F" w14:textId="77777777" w:rsidR="00FC03E2" w:rsidRPr="006C059D" w:rsidRDefault="00FC03E2" w:rsidP="0056259C">
            <w:pPr>
              <w:rPr>
                <w:sz w:val="22"/>
                <w:szCs w:val="22"/>
              </w:rPr>
            </w:pPr>
            <w:r w:rsidRPr="006C059D">
              <w:rPr>
                <w:sz w:val="22"/>
                <w:szCs w:val="22"/>
              </w:rPr>
              <w:t>Total Cash Funds</w:t>
            </w:r>
          </w:p>
        </w:tc>
        <w:tc>
          <w:tcPr>
            <w:tcW w:w="595" w:type="dxa"/>
            <w:gridSpan w:val="2"/>
          </w:tcPr>
          <w:p w14:paraId="21E82ECE" w14:textId="77777777" w:rsidR="00FC03E2" w:rsidRPr="006C059D" w:rsidRDefault="0058660B" w:rsidP="0056259C">
            <w:pPr>
              <w:rPr>
                <w:sz w:val="22"/>
                <w:szCs w:val="22"/>
              </w:rPr>
            </w:pPr>
            <w:r w:rsidRPr="006C059D">
              <w:rPr>
                <w:sz w:val="22"/>
                <w:szCs w:val="22"/>
              </w:rPr>
              <w:t>2</w:t>
            </w:r>
          </w:p>
        </w:tc>
        <w:tc>
          <w:tcPr>
            <w:tcW w:w="2109" w:type="dxa"/>
            <w:gridSpan w:val="2"/>
          </w:tcPr>
          <w:p w14:paraId="635866CE" w14:textId="78EB9385" w:rsidR="00FC03E2" w:rsidRPr="006C059D" w:rsidRDefault="005C4C4B" w:rsidP="00D107E1">
            <w:pPr>
              <w:jc w:val="right"/>
              <w:rPr>
                <w:sz w:val="22"/>
                <w:szCs w:val="22"/>
              </w:rPr>
            </w:pPr>
            <w:r w:rsidRPr="006C059D">
              <w:rPr>
                <w:sz w:val="22"/>
                <w:szCs w:val="22"/>
              </w:rPr>
              <w:t>5</w:t>
            </w:r>
            <w:r w:rsidR="006148FC" w:rsidRPr="006C059D">
              <w:rPr>
                <w:sz w:val="22"/>
                <w:szCs w:val="22"/>
              </w:rPr>
              <w:t>3,927.53</w:t>
            </w:r>
          </w:p>
        </w:tc>
        <w:tc>
          <w:tcPr>
            <w:tcW w:w="3136" w:type="dxa"/>
            <w:gridSpan w:val="2"/>
          </w:tcPr>
          <w:p w14:paraId="516CE219" w14:textId="0CD9AD63" w:rsidR="00FC03E2" w:rsidRPr="006C059D" w:rsidRDefault="00E74ED5" w:rsidP="00D107E1">
            <w:pPr>
              <w:jc w:val="right"/>
              <w:rPr>
                <w:sz w:val="22"/>
                <w:szCs w:val="22"/>
              </w:rPr>
            </w:pPr>
            <w:r w:rsidRPr="006C059D">
              <w:rPr>
                <w:sz w:val="22"/>
                <w:szCs w:val="22"/>
              </w:rPr>
              <w:t>58,016.08</w:t>
            </w:r>
          </w:p>
        </w:tc>
      </w:tr>
      <w:tr w:rsidR="00423BCD" w:rsidRPr="006C059D" w14:paraId="635B8058" w14:textId="77777777" w:rsidTr="00D107E1">
        <w:tc>
          <w:tcPr>
            <w:tcW w:w="2802" w:type="dxa"/>
          </w:tcPr>
          <w:p w14:paraId="7C35EF30" w14:textId="77777777" w:rsidR="00FC03E2" w:rsidRPr="00D107E1" w:rsidRDefault="00FC03E2" w:rsidP="0056259C">
            <w:pPr>
              <w:rPr>
                <w:b/>
                <w:bCs/>
                <w:sz w:val="22"/>
                <w:szCs w:val="22"/>
              </w:rPr>
            </w:pPr>
            <w:r w:rsidRPr="00D107E1">
              <w:rPr>
                <w:b/>
                <w:bCs/>
                <w:sz w:val="22"/>
                <w:szCs w:val="22"/>
              </w:rPr>
              <w:t>Investment Assets</w:t>
            </w:r>
          </w:p>
        </w:tc>
        <w:tc>
          <w:tcPr>
            <w:tcW w:w="595" w:type="dxa"/>
            <w:gridSpan w:val="2"/>
          </w:tcPr>
          <w:p w14:paraId="3C2605FD" w14:textId="77777777" w:rsidR="00FC03E2" w:rsidRPr="006C059D" w:rsidRDefault="00FC03E2" w:rsidP="0056259C">
            <w:pPr>
              <w:rPr>
                <w:sz w:val="22"/>
                <w:szCs w:val="22"/>
              </w:rPr>
            </w:pPr>
          </w:p>
        </w:tc>
        <w:tc>
          <w:tcPr>
            <w:tcW w:w="2130" w:type="dxa"/>
            <w:gridSpan w:val="3"/>
          </w:tcPr>
          <w:p w14:paraId="19C09700" w14:textId="77777777" w:rsidR="00FC03E2" w:rsidRPr="006C059D" w:rsidRDefault="00FC03E2" w:rsidP="00D107E1">
            <w:pPr>
              <w:jc w:val="right"/>
              <w:rPr>
                <w:sz w:val="22"/>
                <w:szCs w:val="22"/>
              </w:rPr>
            </w:pPr>
          </w:p>
        </w:tc>
        <w:tc>
          <w:tcPr>
            <w:tcW w:w="3115" w:type="dxa"/>
          </w:tcPr>
          <w:p w14:paraId="0C6D978C" w14:textId="77777777" w:rsidR="00FC03E2" w:rsidRPr="006C059D" w:rsidRDefault="00FC03E2" w:rsidP="00D107E1">
            <w:pPr>
              <w:jc w:val="right"/>
              <w:rPr>
                <w:sz w:val="22"/>
                <w:szCs w:val="22"/>
              </w:rPr>
            </w:pPr>
          </w:p>
        </w:tc>
      </w:tr>
      <w:tr w:rsidR="00423BCD" w:rsidRPr="006C059D" w14:paraId="5079E4EC" w14:textId="77777777" w:rsidTr="00D107E1">
        <w:tc>
          <w:tcPr>
            <w:tcW w:w="2802" w:type="dxa"/>
          </w:tcPr>
          <w:p w14:paraId="4857896F" w14:textId="77777777" w:rsidR="00FC03E2" w:rsidRPr="006C059D" w:rsidRDefault="00FC03E2" w:rsidP="0056259C">
            <w:pPr>
              <w:rPr>
                <w:sz w:val="22"/>
                <w:szCs w:val="22"/>
              </w:rPr>
            </w:pPr>
            <w:r w:rsidRPr="006C059D">
              <w:rPr>
                <w:sz w:val="22"/>
                <w:szCs w:val="22"/>
              </w:rPr>
              <w:t>Investments in RCB/CIT Unit Trusts</w:t>
            </w:r>
          </w:p>
        </w:tc>
        <w:tc>
          <w:tcPr>
            <w:tcW w:w="595" w:type="dxa"/>
            <w:gridSpan w:val="2"/>
          </w:tcPr>
          <w:p w14:paraId="61403C84" w14:textId="77777777" w:rsidR="00FC03E2" w:rsidRPr="006C059D" w:rsidRDefault="00FC03E2" w:rsidP="0056259C">
            <w:pPr>
              <w:rPr>
                <w:sz w:val="22"/>
                <w:szCs w:val="22"/>
              </w:rPr>
            </w:pPr>
          </w:p>
        </w:tc>
        <w:tc>
          <w:tcPr>
            <w:tcW w:w="2130" w:type="dxa"/>
            <w:gridSpan w:val="3"/>
          </w:tcPr>
          <w:p w14:paraId="785E81F2" w14:textId="1A4C95DA" w:rsidR="00FC03E2" w:rsidRPr="006C059D" w:rsidRDefault="00FC03E2" w:rsidP="00D107E1">
            <w:pPr>
              <w:jc w:val="right"/>
              <w:rPr>
                <w:sz w:val="22"/>
                <w:szCs w:val="22"/>
              </w:rPr>
            </w:pPr>
          </w:p>
        </w:tc>
        <w:tc>
          <w:tcPr>
            <w:tcW w:w="3115" w:type="dxa"/>
          </w:tcPr>
          <w:p w14:paraId="5CAC13A1" w14:textId="49CF365F" w:rsidR="00FC03E2" w:rsidRPr="006C059D" w:rsidRDefault="00F31C56" w:rsidP="00D107E1">
            <w:pPr>
              <w:jc w:val="right"/>
              <w:rPr>
                <w:sz w:val="22"/>
                <w:szCs w:val="22"/>
              </w:rPr>
            </w:pPr>
            <w:r w:rsidRPr="006C059D">
              <w:rPr>
                <w:sz w:val="22"/>
                <w:szCs w:val="22"/>
              </w:rPr>
              <w:t>1</w:t>
            </w:r>
            <w:r w:rsidR="00E74ED5" w:rsidRPr="006C059D">
              <w:rPr>
                <w:sz w:val="22"/>
                <w:szCs w:val="22"/>
              </w:rPr>
              <w:t>1,538.00</w:t>
            </w:r>
          </w:p>
        </w:tc>
      </w:tr>
      <w:tr w:rsidR="00423BCD" w:rsidRPr="006C059D" w14:paraId="5C39150A" w14:textId="77777777" w:rsidTr="00D107E1">
        <w:tc>
          <w:tcPr>
            <w:tcW w:w="2802" w:type="dxa"/>
          </w:tcPr>
          <w:p w14:paraId="6F501EFA" w14:textId="77777777" w:rsidR="00FC03E2" w:rsidRPr="006C059D" w:rsidRDefault="00FC03E2" w:rsidP="0056259C">
            <w:pPr>
              <w:rPr>
                <w:sz w:val="22"/>
                <w:szCs w:val="22"/>
              </w:rPr>
            </w:pPr>
            <w:r w:rsidRPr="006C059D">
              <w:rPr>
                <w:sz w:val="22"/>
                <w:szCs w:val="22"/>
              </w:rPr>
              <w:t>Total Investment Assets</w:t>
            </w:r>
          </w:p>
        </w:tc>
        <w:tc>
          <w:tcPr>
            <w:tcW w:w="595" w:type="dxa"/>
            <w:gridSpan w:val="2"/>
          </w:tcPr>
          <w:p w14:paraId="6FC15694" w14:textId="77777777" w:rsidR="00FC03E2" w:rsidRPr="006C059D" w:rsidRDefault="00FC03E2" w:rsidP="0056259C">
            <w:pPr>
              <w:rPr>
                <w:sz w:val="22"/>
                <w:szCs w:val="22"/>
              </w:rPr>
            </w:pPr>
          </w:p>
        </w:tc>
        <w:tc>
          <w:tcPr>
            <w:tcW w:w="2130" w:type="dxa"/>
            <w:gridSpan w:val="3"/>
          </w:tcPr>
          <w:p w14:paraId="67234C0C" w14:textId="4D600E80" w:rsidR="00FC03E2" w:rsidRPr="006C059D" w:rsidRDefault="00FC03E2" w:rsidP="00D107E1">
            <w:pPr>
              <w:jc w:val="right"/>
              <w:rPr>
                <w:sz w:val="22"/>
                <w:szCs w:val="22"/>
              </w:rPr>
            </w:pPr>
          </w:p>
        </w:tc>
        <w:tc>
          <w:tcPr>
            <w:tcW w:w="3115" w:type="dxa"/>
          </w:tcPr>
          <w:p w14:paraId="502951EF" w14:textId="4F598FFA" w:rsidR="00FC03E2" w:rsidRPr="006C059D" w:rsidRDefault="00F31C56" w:rsidP="00D107E1">
            <w:pPr>
              <w:jc w:val="right"/>
              <w:rPr>
                <w:sz w:val="22"/>
                <w:szCs w:val="22"/>
              </w:rPr>
            </w:pPr>
            <w:r w:rsidRPr="006C059D">
              <w:rPr>
                <w:sz w:val="22"/>
                <w:szCs w:val="22"/>
              </w:rPr>
              <w:t>1</w:t>
            </w:r>
            <w:r w:rsidR="00E74ED5" w:rsidRPr="006C059D">
              <w:rPr>
                <w:sz w:val="22"/>
                <w:szCs w:val="22"/>
              </w:rPr>
              <w:t>1,538.00</w:t>
            </w:r>
          </w:p>
        </w:tc>
      </w:tr>
      <w:tr w:rsidR="00423BCD" w:rsidRPr="006C059D" w14:paraId="001C3272" w14:textId="77777777" w:rsidTr="00D107E1">
        <w:tc>
          <w:tcPr>
            <w:tcW w:w="2833" w:type="dxa"/>
            <w:gridSpan w:val="2"/>
          </w:tcPr>
          <w:p w14:paraId="4B56292D" w14:textId="77777777" w:rsidR="00FC03E2" w:rsidRPr="00D107E1" w:rsidRDefault="00FC03E2" w:rsidP="0056259C">
            <w:pPr>
              <w:rPr>
                <w:b/>
                <w:bCs/>
                <w:sz w:val="22"/>
                <w:szCs w:val="22"/>
              </w:rPr>
            </w:pPr>
            <w:r w:rsidRPr="00D107E1">
              <w:rPr>
                <w:b/>
                <w:bCs/>
                <w:sz w:val="22"/>
                <w:szCs w:val="22"/>
              </w:rPr>
              <w:t>Assets retained for the Parish’s own use</w:t>
            </w:r>
          </w:p>
        </w:tc>
        <w:tc>
          <w:tcPr>
            <w:tcW w:w="564" w:type="dxa"/>
          </w:tcPr>
          <w:p w14:paraId="43768AD3" w14:textId="77777777" w:rsidR="00FC03E2" w:rsidRPr="006C059D" w:rsidRDefault="00FC03E2" w:rsidP="0056259C">
            <w:pPr>
              <w:rPr>
                <w:sz w:val="22"/>
                <w:szCs w:val="22"/>
              </w:rPr>
            </w:pPr>
          </w:p>
        </w:tc>
        <w:tc>
          <w:tcPr>
            <w:tcW w:w="2098" w:type="dxa"/>
          </w:tcPr>
          <w:p w14:paraId="35B89493" w14:textId="77777777" w:rsidR="00FC03E2" w:rsidRPr="006C059D" w:rsidRDefault="00FC03E2" w:rsidP="0056259C">
            <w:pPr>
              <w:rPr>
                <w:sz w:val="22"/>
                <w:szCs w:val="22"/>
              </w:rPr>
            </w:pPr>
          </w:p>
        </w:tc>
        <w:tc>
          <w:tcPr>
            <w:tcW w:w="3147" w:type="dxa"/>
            <w:gridSpan w:val="3"/>
          </w:tcPr>
          <w:p w14:paraId="05288FAA" w14:textId="77777777" w:rsidR="00FC03E2" w:rsidRPr="006C059D" w:rsidRDefault="00FC03E2" w:rsidP="0056259C">
            <w:pPr>
              <w:rPr>
                <w:sz w:val="22"/>
                <w:szCs w:val="22"/>
              </w:rPr>
            </w:pPr>
          </w:p>
        </w:tc>
      </w:tr>
      <w:tr w:rsidR="00423BCD" w:rsidRPr="006C059D" w14:paraId="31BAC9D3" w14:textId="77777777" w:rsidTr="00D107E1">
        <w:tc>
          <w:tcPr>
            <w:tcW w:w="2833" w:type="dxa"/>
            <w:gridSpan w:val="2"/>
          </w:tcPr>
          <w:p w14:paraId="54C7F00B" w14:textId="77777777" w:rsidR="00FC03E2" w:rsidRPr="006C059D" w:rsidRDefault="00FC03E2" w:rsidP="0056259C">
            <w:pPr>
              <w:rPr>
                <w:sz w:val="22"/>
                <w:szCs w:val="22"/>
              </w:rPr>
            </w:pPr>
            <w:r w:rsidRPr="006C059D">
              <w:rPr>
                <w:sz w:val="22"/>
                <w:szCs w:val="22"/>
              </w:rPr>
              <w:t>Fixtures and Fittings</w:t>
            </w:r>
          </w:p>
        </w:tc>
        <w:tc>
          <w:tcPr>
            <w:tcW w:w="564" w:type="dxa"/>
          </w:tcPr>
          <w:p w14:paraId="1550AB6B" w14:textId="77777777" w:rsidR="00FC03E2" w:rsidRPr="006C059D" w:rsidRDefault="0058660B" w:rsidP="0056259C">
            <w:pPr>
              <w:rPr>
                <w:sz w:val="22"/>
                <w:szCs w:val="22"/>
              </w:rPr>
            </w:pPr>
            <w:r w:rsidRPr="006C059D">
              <w:rPr>
                <w:sz w:val="22"/>
                <w:szCs w:val="22"/>
              </w:rPr>
              <w:t>1</w:t>
            </w:r>
          </w:p>
        </w:tc>
        <w:tc>
          <w:tcPr>
            <w:tcW w:w="2098" w:type="dxa"/>
          </w:tcPr>
          <w:p w14:paraId="52CCEC6E" w14:textId="77777777" w:rsidR="00FC03E2" w:rsidRPr="006C059D" w:rsidRDefault="00FC03E2" w:rsidP="0056259C">
            <w:pPr>
              <w:rPr>
                <w:sz w:val="22"/>
                <w:szCs w:val="22"/>
              </w:rPr>
            </w:pPr>
          </w:p>
        </w:tc>
        <w:tc>
          <w:tcPr>
            <w:tcW w:w="3147" w:type="dxa"/>
            <w:gridSpan w:val="3"/>
          </w:tcPr>
          <w:p w14:paraId="1A971985" w14:textId="77777777" w:rsidR="00FC03E2" w:rsidRPr="006C059D" w:rsidRDefault="00FC03E2" w:rsidP="0056259C">
            <w:pPr>
              <w:rPr>
                <w:sz w:val="22"/>
                <w:szCs w:val="22"/>
              </w:rPr>
            </w:pPr>
          </w:p>
        </w:tc>
      </w:tr>
      <w:tr w:rsidR="00423BCD" w:rsidRPr="006C059D" w14:paraId="23EA64EB" w14:textId="77777777" w:rsidTr="00D107E1">
        <w:tc>
          <w:tcPr>
            <w:tcW w:w="2833" w:type="dxa"/>
            <w:gridSpan w:val="2"/>
          </w:tcPr>
          <w:p w14:paraId="65DD7A91" w14:textId="77777777" w:rsidR="00FC03E2" w:rsidRPr="006C059D" w:rsidRDefault="00FC03E2" w:rsidP="0056259C">
            <w:pPr>
              <w:rPr>
                <w:sz w:val="22"/>
                <w:szCs w:val="22"/>
              </w:rPr>
            </w:pPr>
            <w:r w:rsidRPr="006C059D">
              <w:rPr>
                <w:sz w:val="22"/>
                <w:szCs w:val="22"/>
              </w:rPr>
              <w:t>Total Assets retained for the Parish’s own use</w:t>
            </w:r>
          </w:p>
        </w:tc>
        <w:tc>
          <w:tcPr>
            <w:tcW w:w="564" w:type="dxa"/>
          </w:tcPr>
          <w:p w14:paraId="7CB4017C" w14:textId="77777777" w:rsidR="00FC03E2" w:rsidRPr="006C059D" w:rsidRDefault="00FC03E2" w:rsidP="0056259C">
            <w:pPr>
              <w:rPr>
                <w:sz w:val="22"/>
                <w:szCs w:val="22"/>
              </w:rPr>
            </w:pPr>
          </w:p>
        </w:tc>
        <w:tc>
          <w:tcPr>
            <w:tcW w:w="2098" w:type="dxa"/>
          </w:tcPr>
          <w:p w14:paraId="20A9F912" w14:textId="77777777" w:rsidR="00FC03E2" w:rsidRPr="006C059D" w:rsidRDefault="00FC03E2" w:rsidP="0056259C">
            <w:pPr>
              <w:rPr>
                <w:sz w:val="22"/>
                <w:szCs w:val="22"/>
              </w:rPr>
            </w:pPr>
          </w:p>
        </w:tc>
        <w:tc>
          <w:tcPr>
            <w:tcW w:w="3147" w:type="dxa"/>
            <w:gridSpan w:val="3"/>
          </w:tcPr>
          <w:p w14:paraId="33C4E74E" w14:textId="77777777" w:rsidR="00FC03E2" w:rsidRPr="006C059D" w:rsidRDefault="00FC03E2" w:rsidP="0056259C">
            <w:pPr>
              <w:rPr>
                <w:sz w:val="22"/>
                <w:szCs w:val="22"/>
              </w:rPr>
            </w:pPr>
          </w:p>
        </w:tc>
      </w:tr>
    </w:tbl>
    <w:p w14:paraId="2BA256CF" w14:textId="1D7E3199" w:rsidR="00AB6BC1" w:rsidRDefault="00917337" w:rsidP="006C059D">
      <w:pPr>
        <w:pStyle w:val="Heading1"/>
      </w:pPr>
      <w:r w:rsidRPr="009750F7">
        <w:lastRenderedPageBreak/>
        <w:t>Notes to the financial statements for</w:t>
      </w:r>
      <w:r w:rsidR="00155DED">
        <w:t xml:space="preserve"> the year ended 31 December 20</w:t>
      </w:r>
      <w:r w:rsidR="00E74ED5">
        <w:t>20</w:t>
      </w:r>
    </w:p>
    <w:p w14:paraId="0BFADDF1" w14:textId="36F6834D" w:rsidR="00097D74" w:rsidRPr="006C059D" w:rsidRDefault="006C059D" w:rsidP="006C059D">
      <w:pPr>
        <w:pStyle w:val="normalextra"/>
        <w:rPr>
          <w:b/>
          <w:bCs/>
        </w:rPr>
      </w:pPr>
      <w:r w:rsidRPr="006C059D">
        <w:rPr>
          <w:b/>
          <w:bCs/>
        </w:rPr>
        <w:t xml:space="preserve">1. </w:t>
      </w:r>
      <w:r w:rsidR="00917337" w:rsidRPr="006C059D">
        <w:rPr>
          <w:b/>
          <w:bCs/>
        </w:rPr>
        <w:t>Accounting Policies</w:t>
      </w:r>
      <w:r w:rsidR="00917337" w:rsidRPr="006C059D">
        <w:rPr>
          <w:b/>
          <w:bCs/>
        </w:rPr>
        <w:tab/>
      </w:r>
    </w:p>
    <w:p w14:paraId="0DE917F2" w14:textId="3BFF2045" w:rsidR="00AB6BC1" w:rsidRDefault="00097D74" w:rsidP="006C059D">
      <w:pPr>
        <w:pStyle w:val="normalextra"/>
      </w:pPr>
      <w:r w:rsidRPr="009750F7">
        <w:t>Set out below are the principal accounting policies which have been adopted in the compilation of the Receipts and Payments Account and the Statement of Assets and Liabilities</w:t>
      </w:r>
    </w:p>
    <w:p w14:paraId="3E09AC85" w14:textId="3DCA9D00" w:rsidR="00097D74" w:rsidRPr="006C059D" w:rsidRDefault="006C059D" w:rsidP="006C059D">
      <w:pPr>
        <w:pStyle w:val="normalextra"/>
        <w:rPr>
          <w:b/>
          <w:bCs/>
        </w:rPr>
      </w:pPr>
      <w:r w:rsidRPr="006C059D">
        <w:rPr>
          <w:b/>
          <w:bCs/>
        </w:rPr>
        <w:t xml:space="preserve">(a) </w:t>
      </w:r>
      <w:r w:rsidR="00097D74" w:rsidRPr="006C059D">
        <w:rPr>
          <w:b/>
          <w:bCs/>
        </w:rPr>
        <w:t>Receipts and Payments Account</w:t>
      </w:r>
    </w:p>
    <w:p w14:paraId="42486319" w14:textId="4585C7EA" w:rsidR="00AB6BC1" w:rsidRDefault="00097D74" w:rsidP="006C059D">
      <w:pPr>
        <w:pStyle w:val="normalextra"/>
      </w:pPr>
      <w:r w:rsidRPr="009750F7">
        <w:t>All items of income and expenditure included within the Receipts and Payments Account have been accounted for on a cash receipts basis.</w:t>
      </w:r>
    </w:p>
    <w:p w14:paraId="0333ADB4" w14:textId="2E7F8303" w:rsidR="00097D74" w:rsidRPr="006C059D" w:rsidRDefault="00097D74" w:rsidP="006C059D">
      <w:pPr>
        <w:pStyle w:val="normalextra"/>
        <w:rPr>
          <w:b/>
          <w:bCs/>
        </w:rPr>
      </w:pPr>
      <w:r w:rsidRPr="006C059D">
        <w:rPr>
          <w:b/>
          <w:bCs/>
        </w:rPr>
        <w:t>(b)</w:t>
      </w:r>
      <w:r w:rsidR="006C059D" w:rsidRPr="006C059D">
        <w:rPr>
          <w:b/>
          <w:bCs/>
        </w:rPr>
        <w:t xml:space="preserve"> </w:t>
      </w:r>
      <w:r w:rsidRPr="006C059D">
        <w:rPr>
          <w:b/>
          <w:bCs/>
        </w:rPr>
        <w:t>Statement of Assets and Liabilities</w:t>
      </w:r>
    </w:p>
    <w:p w14:paraId="709B9141" w14:textId="4695C782" w:rsidR="00097D74" w:rsidRPr="006C059D" w:rsidRDefault="00097D74" w:rsidP="006C059D">
      <w:pPr>
        <w:pStyle w:val="normalextra"/>
        <w:rPr>
          <w:b/>
          <w:bCs/>
        </w:rPr>
      </w:pPr>
      <w:r w:rsidRPr="006C059D">
        <w:rPr>
          <w:b/>
          <w:bCs/>
        </w:rPr>
        <w:t>(I)</w:t>
      </w:r>
      <w:r w:rsidR="006C059D" w:rsidRPr="006C059D">
        <w:rPr>
          <w:b/>
          <w:bCs/>
        </w:rPr>
        <w:t xml:space="preserve"> </w:t>
      </w:r>
      <w:r w:rsidRPr="006C059D">
        <w:rPr>
          <w:b/>
          <w:bCs/>
        </w:rPr>
        <w:t>Assets retained for the Parish’s own use</w:t>
      </w:r>
    </w:p>
    <w:p w14:paraId="1B2053AB" w14:textId="7B13B318" w:rsidR="00097D74" w:rsidRPr="009750F7" w:rsidRDefault="00E067A8" w:rsidP="006C059D">
      <w:pPr>
        <w:pStyle w:val="normalextra"/>
      </w:pPr>
      <w:r w:rsidRPr="009750F7">
        <w:t>The assets of the Parish, retained for its own use comprise:-</w:t>
      </w:r>
    </w:p>
    <w:p w14:paraId="16ACA07B" w14:textId="570FF66E" w:rsidR="009209F4" w:rsidRDefault="00D107E1" w:rsidP="006C059D">
      <w:pPr>
        <w:pStyle w:val="normalextra"/>
      </w:pPr>
      <w:r>
        <w:t xml:space="preserve">- </w:t>
      </w:r>
      <w:r w:rsidR="00E067A8" w:rsidRPr="009750F7">
        <w:t>Church Building and Graveyard</w:t>
      </w:r>
    </w:p>
    <w:p w14:paraId="74C66374" w14:textId="1A6DB081" w:rsidR="009209F4" w:rsidRDefault="009209F4" w:rsidP="006C059D">
      <w:pPr>
        <w:pStyle w:val="normalextra"/>
      </w:pPr>
      <w:r>
        <w:t>-</w:t>
      </w:r>
      <w:r w:rsidR="00D107E1">
        <w:t xml:space="preserve"> </w:t>
      </w:r>
      <w:r w:rsidR="00E067A8" w:rsidRPr="009750F7">
        <w:t>Parish Centre</w:t>
      </w:r>
    </w:p>
    <w:p w14:paraId="231223C3" w14:textId="7D1916D5" w:rsidR="008B25B5" w:rsidRPr="009750F7" w:rsidRDefault="009209F4" w:rsidP="006C059D">
      <w:pPr>
        <w:pStyle w:val="normalextra"/>
      </w:pPr>
      <w:r>
        <w:t>-</w:t>
      </w:r>
      <w:r w:rsidR="00D107E1">
        <w:t xml:space="preserve"> </w:t>
      </w:r>
      <w:r w:rsidR="00E067A8" w:rsidRPr="009750F7">
        <w:t>Fixtures and Fittings</w:t>
      </w:r>
    </w:p>
    <w:p w14:paraId="3E58D61D" w14:textId="2719B647" w:rsidR="008B25B5" w:rsidRPr="009750F7" w:rsidRDefault="00E067A8" w:rsidP="006C059D">
      <w:pPr>
        <w:pStyle w:val="normalextra"/>
      </w:pPr>
      <w:r w:rsidRPr="009750F7">
        <w:t>The Church Building and Graveyard are deemed to be Heritage assets as defined by the Charities SORP (FRS102).  These Heritage assets are not included in the statement of assets and liabilities as information on the cost or valuation is not available and such information cannot be obtained at a cost commensurate with the benefit to the users of t</w:t>
      </w:r>
      <w:r w:rsidR="007E6FA3" w:rsidRPr="009750F7">
        <w:t xml:space="preserve">he accounts and to the parish. </w:t>
      </w:r>
    </w:p>
    <w:p w14:paraId="2FF1F6A7" w14:textId="2072986A" w:rsidR="007E6FA3" w:rsidRPr="009750F7" w:rsidRDefault="007E6FA3" w:rsidP="006C059D">
      <w:pPr>
        <w:pStyle w:val="normalextra"/>
      </w:pPr>
      <w:r w:rsidRPr="009750F7">
        <w:t>There are no reliable records of the</w:t>
      </w:r>
      <w:r w:rsidR="00E743BF" w:rsidRPr="009750F7">
        <w:t xml:space="preserve"> Parish Centre’s</w:t>
      </w:r>
      <w:r w:rsidRPr="009750F7">
        <w:t xml:space="preserve"> cost of construction and </w:t>
      </w:r>
      <w:r w:rsidR="00E743BF" w:rsidRPr="009750F7">
        <w:t xml:space="preserve">a </w:t>
      </w:r>
      <w:r w:rsidRPr="009750F7">
        <w:t>valuation approach for such a building lacks sufficient reliability.  As a result this building is not recognised in the parish statement of assets and liabilities.</w:t>
      </w:r>
    </w:p>
    <w:p w14:paraId="68E8D0D4" w14:textId="674DCD15" w:rsidR="00067C51" w:rsidRPr="009750F7" w:rsidRDefault="007E6FA3" w:rsidP="006C059D">
      <w:pPr>
        <w:pStyle w:val="normalextra"/>
      </w:pPr>
      <w:r w:rsidRPr="009750F7">
        <w:t xml:space="preserve">Fixtures and Fittings </w:t>
      </w:r>
      <w:r w:rsidR="0058660B" w:rsidRPr="009750F7">
        <w:t xml:space="preserve">are </w:t>
      </w:r>
      <w:r w:rsidR="00A11E3E" w:rsidRPr="009750F7">
        <w:t>deemed to be recognised</w:t>
      </w:r>
      <w:r w:rsidR="0058660B" w:rsidRPr="009750F7">
        <w:t xml:space="preserve"> if </w:t>
      </w:r>
      <w:r w:rsidR="00A11E3E" w:rsidRPr="009750F7">
        <w:t>greater than £5,000 in value.</w:t>
      </w:r>
    </w:p>
    <w:p w14:paraId="46A03958" w14:textId="1FEE6121" w:rsidR="00067C51" w:rsidRPr="006C059D" w:rsidRDefault="00067C51" w:rsidP="006C059D">
      <w:pPr>
        <w:pStyle w:val="normalextra"/>
        <w:rPr>
          <w:b/>
          <w:bCs/>
        </w:rPr>
      </w:pPr>
      <w:r w:rsidRPr="006C059D">
        <w:rPr>
          <w:b/>
          <w:bCs/>
        </w:rPr>
        <w:t>(II)</w:t>
      </w:r>
      <w:r w:rsidR="006C059D" w:rsidRPr="006C059D">
        <w:rPr>
          <w:b/>
          <w:bCs/>
        </w:rPr>
        <w:t xml:space="preserve"> </w:t>
      </w:r>
      <w:r w:rsidRPr="006C059D">
        <w:rPr>
          <w:b/>
          <w:bCs/>
        </w:rPr>
        <w:t>Investments</w:t>
      </w:r>
    </w:p>
    <w:p w14:paraId="1717EE85" w14:textId="468DDEA4" w:rsidR="008B25B5" w:rsidRDefault="00067C51" w:rsidP="006C059D">
      <w:pPr>
        <w:pStyle w:val="normalextra"/>
      </w:pPr>
      <w:r w:rsidRPr="009750F7">
        <w:t>Fixed asset investments comprising investment in RCB/CIT Unit Trusts are initially recorded at cost and are then subsequently stated at fair value at each year end date.</w:t>
      </w:r>
    </w:p>
    <w:p w14:paraId="3C2E0FF8" w14:textId="4BA31DC2" w:rsidR="006C059D" w:rsidRDefault="006C059D" w:rsidP="006C059D">
      <w:pPr>
        <w:pStyle w:val="normalextra"/>
      </w:pPr>
    </w:p>
    <w:p w14:paraId="4BB96FB2" w14:textId="77777777" w:rsidR="00D107E1" w:rsidRPr="009750F7" w:rsidRDefault="00D107E1" w:rsidP="006C059D">
      <w:pPr>
        <w:pStyle w:val="normalextra"/>
      </w:pPr>
    </w:p>
    <w:p w14:paraId="0C261A45" w14:textId="34261703" w:rsidR="00A11E3E" w:rsidRPr="006C059D" w:rsidRDefault="00067C51" w:rsidP="006C059D">
      <w:pPr>
        <w:pStyle w:val="normalextra"/>
        <w:rPr>
          <w:b/>
          <w:bCs/>
        </w:rPr>
      </w:pPr>
      <w:r w:rsidRPr="006C059D">
        <w:rPr>
          <w:b/>
          <w:bCs/>
        </w:rPr>
        <w:lastRenderedPageBreak/>
        <w:t>2.</w:t>
      </w:r>
      <w:r w:rsidR="006C059D" w:rsidRPr="006C059D">
        <w:rPr>
          <w:b/>
          <w:bCs/>
        </w:rPr>
        <w:t xml:space="preserve"> </w:t>
      </w:r>
      <w:r w:rsidRPr="006C059D">
        <w:rPr>
          <w:b/>
          <w:bCs/>
        </w:rPr>
        <w:t>Reconciliation of Cash Funds</w:t>
      </w:r>
    </w:p>
    <w:p w14:paraId="2CCA7427" w14:textId="77777777" w:rsidR="00067C51" w:rsidRPr="009750F7" w:rsidRDefault="00A11E3E" w:rsidP="006C059D">
      <w:pPr>
        <w:pStyle w:val="normalextra"/>
      </w:pPr>
      <w:r w:rsidRPr="009750F7">
        <w:tab/>
      </w:r>
      <w:r w:rsidRPr="009750F7">
        <w:tab/>
      </w:r>
      <w:r w:rsidRPr="009750F7">
        <w:tab/>
      </w:r>
      <w:r w:rsidRPr="009750F7">
        <w:tab/>
      </w:r>
      <w:r w:rsidRPr="009750F7">
        <w:tab/>
      </w:r>
      <w:r w:rsidRPr="009750F7">
        <w:tab/>
      </w:r>
      <w:r w:rsidRPr="009750F7">
        <w:tab/>
      </w:r>
      <w:r w:rsidRPr="009750F7">
        <w:tab/>
      </w:r>
      <w:r w:rsidRPr="009750F7">
        <w:tab/>
      </w:r>
      <w:r w:rsidRPr="009750F7">
        <w:tab/>
      </w:r>
      <w:r w:rsidRPr="009750F7">
        <w:tab/>
      </w:r>
      <w:r w:rsidRPr="009750F7">
        <w:tab/>
      </w:r>
      <w:r w:rsidR="00067C51" w:rsidRPr="009750F7">
        <w:tab/>
      </w:r>
      <w:r w:rsidR="00067C51" w:rsidRPr="009750F7">
        <w:tab/>
        <w:t>£</w:t>
      </w:r>
    </w:p>
    <w:p w14:paraId="6DD6C0A6" w14:textId="7C7EABA5" w:rsidR="00067C51" w:rsidRPr="004D25B1" w:rsidRDefault="00067C51" w:rsidP="006C059D">
      <w:pPr>
        <w:pStyle w:val="normalextra"/>
      </w:pPr>
      <w:r w:rsidRPr="009750F7">
        <w:t>Total Cash Funds at Beginning of the year</w:t>
      </w:r>
      <w:r w:rsidR="00A11E3E" w:rsidRPr="009750F7">
        <w:tab/>
      </w:r>
      <w:r w:rsidR="00787E0E">
        <w:t>58,016.08</w:t>
      </w:r>
    </w:p>
    <w:p w14:paraId="62A9A141" w14:textId="7DFA522A" w:rsidR="00B222D6" w:rsidRPr="004D25B1" w:rsidRDefault="00067C51" w:rsidP="006C059D">
      <w:pPr>
        <w:pStyle w:val="normalextra"/>
      </w:pPr>
      <w:r w:rsidRPr="004D25B1">
        <w:t>Receipts for the Year</w:t>
      </w:r>
      <w:r w:rsidR="00A11E3E" w:rsidRPr="004D25B1">
        <w:tab/>
      </w:r>
      <w:r w:rsidR="006C059D">
        <w:tab/>
      </w:r>
      <w:r w:rsidR="00787E0E">
        <w:t>37,386.83</w:t>
      </w:r>
    </w:p>
    <w:p w14:paraId="209C2BAF" w14:textId="49708DBC" w:rsidR="00067C51" w:rsidRPr="004D25B1" w:rsidRDefault="00067C51" w:rsidP="006C059D">
      <w:pPr>
        <w:pStyle w:val="normalextra"/>
      </w:pPr>
      <w:r w:rsidRPr="004D25B1">
        <w:t xml:space="preserve">Payments </w:t>
      </w:r>
      <w:r w:rsidR="00A11E3E" w:rsidRPr="004D25B1">
        <w:t>for the Year</w:t>
      </w:r>
      <w:r w:rsidR="00A11E3E" w:rsidRPr="004D25B1">
        <w:tab/>
      </w:r>
      <w:r w:rsidR="006C059D">
        <w:tab/>
      </w:r>
      <w:r w:rsidR="00480839">
        <w:t>(</w:t>
      </w:r>
      <w:r w:rsidR="00787E0E">
        <w:t>40,965.38</w:t>
      </w:r>
      <w:r w:rsidR="00480839">
        <w:t>)</w:t>
      </w:r>
    </w:p>
    <w:p w14:paraId="2524483A" w14:textId="5E271C86" w:rsidR="006C059D" w:rsidRPr="009750F7" w:rsidRDefault="006C059D" w:rsidP="006C059D">
      <w:pPr>
        <w:pStyle w:val="normalextra"/>
      </w:pPr>
      <w:r w:rsidRPr="009750F7">
        <w:rPr>
          <w:noProof/>
          <w:lang w:eastAsia="en-GB"/>
        </w:rPr>
        <mc:AlternateContent>
          <mc:Choice Requires="wps">
            <w:drawing>
              <wp:anchor distT="0" distB="0" distL="114300" distR="114300" simplePos="0" relativeHeight="251676672" behindDoc="0" locked="0" layoutInCell="1" allowOverlap="1" wp14:anchorId="4AD7C2C6" wp14:editId="73ED86D8">
                <wp:simplePos x="0" y="0"/>
                <wp:positionH relativeFrom="column">
                  <wp:posOffset>3457575</wp:posOffset>
                </wp:positionH>
                <wp:positionV relativeFrom="paragraph">
                  <wp:posOffset>335915</wp:posOffset>
                </wp:positionV>
                <wp:extent cx="866775" cy="635"/>
                <wp:effectExtent l="0" t="0" r="9525" b="3746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EAF51" id="_x0000_t32" coordsize="21600,21600" o:spt="32" o:oned="t" path="m,l21600,21600e" filled="f">
                <v:path arrowok="t" fillok="f" o:connecttype="none"/>
                <o:lock v:ext="edit" shapetype="t"/>
              </v:shapetype>
              <v:shape id="AutoShape 22" o:spid="_x0000_s1026" type="#_x0000_t32" style="position:absolute;margin-left:272.25pt;margin-top:26.45pt;width:68.2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"/>
            </w:pict>
          </mc:Fallback>
        </mc:AlternateContent>
      </w:r>
      <w:r w:rsidR="009209F4">
        <w:t>T</w:t>
      </w:r>
      <w:r w:rsidR="00B222D6" w:rsidRPr="009750F7">
        <w:t>iming dif</w:t>
      </w:r>
      <w:r w:rsidR="00ED7C19">
        <w:t>ference</w:t>
      </w:r>
      <w:r w:rsidR="00A11E3E" w:rsidRPr="009750F7">
        <w:t xml:space="preserve"> </w:t>
      </w:r>
      <w:r w:rsidR="00A11E3E" w:rsidRPr="00ED7C19">
        <w:t>between</w:t>
      </w:r>
      <w:r w:rsidR="00A11E3E" w:rsidRPr="004D25B1">
        <w:tab/>
      </w:r>
      <w:r>
        <w:tab/>
      </w:r>
      <w:r w:rsidR="00787E0E">
        <w:t>(510.00)</w:t>
      </w:r>
      <w:bookmarkStart w:id="0" w:name="_Hlk67563441"/>
      <w:r>
        <w:br/>
      </w:r>
      <w:r w:rsidRPr="00ED7C19">
        <w:t>lodging and presentation of cheques</w:t>
      </w:r>
      <w:bookmarkEnd w:id="0"/>
    </w:p>
    <w:p w14:paraId="6DDB2519" w14:textId="485BC64D" w:rsidR="006349F7" w:rsidRPr="006C059D" w:rsidRDefault="00DB33F5" w:rsidP="006C059D">
      <w:pPr>
        <w:pStyle w:val="normalextra"/>
        <w:rPr>
          <w:color w:val="FF0000"/>
        </w:rPr>
      </w:pPr>
      <w:r w:rsidRPr="009750F7">
        <w:rPr>
          <w:noProof/>
          <w:lang w:eastAsia="en-GB"/>
        </w:rPr>
        <mc:AlternateContent>
          <mc:Choice Requires="wps">
            <w:drawing>
              <wp:anchor distT="0" distB="0" distL="114300" distR="114300" simplePos="0" relativeHeight="251677696" behindDoc="0" locked="0" layoutInCell="1" allowOverlap="1" wp14:anchorId="5257F56E" wp14:editId="2DFF23AC">
                <wp:simplePos x="0" y="0"/>
                <wp:positionH relativeFrom="column">
                  <wp:posOffset>3457575</wp:posOffset>
                </wp:positionH>
                <wp:positionV relativeFrom="paragraph">
                  <wp:posOffset>254000</wp:posOffset>
                </wp:positionV>
                <wp:extent cx="866775" cy="0"/>
                <wp:effectExtent l="0" t="0" r="9525" b="190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58731" id="AutoShape 23" o:spid="_x0000_s1026" type="#_x0000_t32" style="position:absolute;margin-left:272.25pt;margin-top:20pt;width:68.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"/>
            </w:pict>
          </mc:Fallback>
        </mc:AlternateContent>
      </w:r>
      <w:r w:rsidR="00067C51" w:rsidRPr="009750F7">
        <w:t>Total Cash Funds at end of the year</w:t>
      </w:r>
      <w:r w:rsidR="00A11E3E" w:rsidRPr="009750F7">
        <w:tab/>
      </w:r>
      <w:r w:rsidR="00480839">
        <w:t>5</w:t>
      </w:r>
      <w:r w:rsidR="00787E0E">
        <w:t>3,927.53</w:t>
      </w:r>
    </w:p>
    <w:p w14:paraId="338D1965" w14:textId="272D2019" w:rsidR="00067C51" w:rsidRPr="006C059D" w:rsidRDefault="00A11E3E" w:rsidP="006C059D">
      <w:pPr>
        <w:pStyle w:val="normalextra"/>
        <w:rPr>
          <w:b/>
          <w:bCs/>
        </w:rPr>
      </w:pPr>
      <w:r w:rsidRPr="006C059D">
        <w:rPr>
          <w:b/>
          <w:bCs/>
        </w:rPr>
        <w:t>3</w:t>
      </w:r>
      <w:r w:rsidR="00067C51" w:rsidRPr="006C059D">
        <w:rPr>
          <w:b/>
          <w:bCs/>
        </w:rPr>
        <w:t>.</w:t>
      </w:r>
      <w:r w:rsidR="009209F4" w:rsidRPr="006C059D">
        <w:rPr>
          <w:b/>
          <w:bCs/>
        </w:rPr>
        <w:t xml:space="preserve"> </w:t>
      </w:r>
      <w:r w:rsidR="00067C51" w:rsidRPr="006C059D">
        <w:rPr>
          <w:b/>
          <w:bCs/>
        </w:rPr>
        <w:t>Collections for Third Parties</w:t>
      </w:r>
    </w:p>
    <w:p w14:paraId="4713F775" w14:textId="2F757E07" w:rsidR="00067C51" w:rsidRPr="009750F7" w:rsidRDefault="00FE3220" w:rsidP="006C059D">
      <w:pPr>
        <w:pStyle w:val="normalextra"/>
      </w:pPr>
      <w:r>
        <w:t xml:space="preserve">    </w:t>
      </w:r>
      <w:r w:rsidR="008B25B5" w:rsidRPr="009750F7">
        <w:tab/>
      </w:r>
      <w:r>
        <w:t xml:space="preserve"> </w:t>
      </w:r>
      <w:r w:rsidR="00057F4B">
        <w:t>20</w:t>
      </w:r>
      <w:r w:rsidR="00E74ED5">
        <w:t>20</w:t>
      </w:r>
      <w:r w:rsidR="008B25B5" w:rsidRPr="009750F7">
        <w:tab/>
      </w:r>
      <w:r>
        <w:t xml:space="preserve"> </w:t>
      </w:r>
      <w:r w:rsidR="006C059D">
        <w:t xml:space="preserve">  </w:t>
      </w:r>
      <w:r w:rsidR="006C059D">
        <w:tab/>
      </w:r>
      <w:r w:rsidR="00057F4B">
        <w:t>201</w:t>
      </w:r>
      <w:r w:rsidR="00E74ED5">
        <w:t>9</w:t>
      </w:r>
    </w:p>
    <w:p w14:paraId="64090D15" w14:textId="2501F7F1" w:rsidR="00067C51" w:rsidRPr="009750F7" w:rsidRDefault="006C059D" w:rsidP="006C059D">
      <w:pPr>
        <w:pStyle w:val="normalextra"/>
      </w:pPr>
      <w:r>
        <w:tab/>
      </w:r>
      <w:r w:rsidR="00067C51" w:rsidRPr="009750F7">
        <w:t>£</w:t>
      </w:r>
      <w:r>
        <w:tab/>
      </w:r>
      <w:r w:rsidR="00067C51" w:rsidRPr="009750F7">
        <w:t>£</w:t>
      </w:r>
    </w:p>
    <w:p w14:paraId="4A47C6B4" w14:textId="0C5AD04C" w:rsidR="008B25B5" w:rsidRPr="00057F4B" w:rsidRDefault="00067C51" w:rsidP="006C059D">
      <w:pPr>
        <w:pStyle w:val="normalextra"/>
      </w:pPr>
      <w:r w:rsidRPr="009750F7">
        <w:t>Bishops’ Appeal</w:t>
      </w:r>
      <w:r w:rsidR="008B25B5" w:rsidRPr="009750F7">
        <w:tab/>
      </w:r>
      <w:r w:rsidR="00480839">
        <w:t>0.00</w:t>
      </w:r>
      <w:r w:rsidR="006C059D">
        <w:tab/>
      </w:r>
      <w:r w:rsidR="008B25B5" w:rsidRPr="00057F4B">
        <w:tab/>
      </w:r>
      <w:r w:rsidR="006C059D">
        <w:t xml:space="preserve"> </w:t>
      </w:r>
      <w:r w:rsidR="009D3F3A">
        <w:t>0.00</w:t>
      </w:r>
    </w:p>
    <w:p w14:paraId="6D1F9251" w14:textId="76372123" w:rsidR="00067C51" w:rsidRPr="009750F7" w:rsidRDefault="00067C51" w:rsidP="006C059D">
      <w:pPr>
        <w:pStyle w:val="normalextra"/>
      </w:pPr>
      <w:r w:rsidRPr="00057F4B">
        <w:t>Christian Aid</w:t>
      </w:r>
      <w:r w:rsidR="008B25B5" w:rsidRPr="00057F4B">
        <w:tab/>
      </w:r>
      <w:r w:rsidR="00787E0E">
        <w:t>0</w:t>
      </w:r>
      <w:r w:rsidR="007440AE">
        <w:t>.00</w:t>
      </w:r>
      <w:r w:rsidR="006C059D">
        <w:tab/>
      </w:r>
      <w:r w:rsidR="008B25B5" w:rsidRPr="009750F7">
        <w:tab/>
      </w:r>
      <w:r w:rsidR="009D3F3A">
        <w:t>3</w:t>
      </w:r>
      <w:r w:rsidR="00F31C56">
        <w:t>5.00</w:t>
      </w:r>
    </w:p>
    <w:p w14:paraId="41634F02" w14:textId="6B373826" w:rsidR="00AB6BC1" w:rsidRDefault="001E6A8E" w:rsidP="006C059D">
      <w:pPr>
        <w:pStyle w:val="normalextra"/>
      </w:pPr>
      <w:r w:rsidRPr="009750F7">
        <w:t>The above amounts have been included in Receipts for the year under “Proceeds from Fund Raising Events” and in Payments for the year under “Charitable Donations”.</w:t>
      </w:r>
    </w:p>
    <w:p w14:paraId="5F03DCF6" w14:textId="7763325C" w:rsidR="001E6A8E" w:rsidRPr="006C059D" w:rsidRDefault="008B25B5" w:rsidP="006C059D">
      <w:pPr>
        <w:pStyle w:val="normalextra"/>
        <w:rPr>
          <w:b/>
          <w:bCs/>
        </w:rPr>
      </w:pPr>
      <w:r w:rsidRPr="006C059D">
        <w:rPr>
          <w:b/>
          <w:bCs/>
        </w:rPr>
        <w:t>4</w:t>
      </w:r>
      <w:r w:rsidR="001E6A8E" w:rsidRPr="006C059D">
        <w:rPr>
          <w:b/>
          <w:bCs/>
        </w:rPr>
        <w:t>.</w:t>
      </w:r>
      <w:r w:rsidR="006C059D" w:rsidRPr="006C059D">
        <w:rPr>
          <w:b/>
          <w:bCs/>
        </w:rPr>
        <w:t xml:space="preserve"> </w:t>
      </w:r>
      <w:r w:rsidR="001E6A8E" w:rsidRPr="006C059D">
        <w:rPr>
          <w:b/>
          <w:bCs/>
        </w:rPr>
        <w:t>Governance Costs</w:t>
      </w:r>
    </w:p>
    <w:p w14:paraId="7803946B" w14:textId="00356CDC" w:rsidR="00067C51" w:rsidRPr="009750F7" w:rsidRDefault="001E6A8E" w:rsidP="006C059D">
      <w:pPr>
        <w:pStyle w:val="normalextra"/>
      </w:pPr>
      <w:r w:rsidRPr="009750F7">
        <w:t xml:space="preserve">Governance costs of </w:t>
      </w:r>
      <w:r w:rsidR="00057F4B" w:rsidRPr="00057F4B">
        <w:t>£0.00</w:t>
      </w:r>
      <w:r w:rsidRPr="00057F4B">
        <w:t xml:space="preserve"> </w:t>
      </w:r>
      <w:r w:rsidRPr="009750F7">
        <w:t>were incurred during the year</w:t>
      </w:r>
      <w:r w:rsidR="00057F4B">
        <w:t xml:space="preserve">.  These fees would usually </w:t>
      </w:r>
      <w:r w:rsidRPr="009750F7">
        <w:t>relate to fees paid to the independent examiner</w:t>
      </w:r>
      <w:r w:rsidR="00057F4B">
        <w:t>, however in 20</w:t>
      </w:r>
      <w:r w:rsidR="009D3F3A">
        <w:t>20</w:t>
      </w:r>
      <w:r w:rsidR="00057F4B">
        <w:t xml:space="preserve"> our 201</w:t>
      </w:r>
      <w:r w:rsidR="009D3F3A">
        <w:t>9</w:t>
      </w:r>
      <w:r w:rsidR="00057F4B">
        <w:t xml:space="preserve"> accounts were examined free of charge</w:t>
      </w:r>
      <w:r w:rsidRPr="009750F7">
        <w:t>.  Governance costs are included within Administration costs in the Receipts and Payments Accounts.</w:t>
      </w:r>
    </w:p>
    <w:sectPr w:rsidR="00067C51" w:rsidRPr="009750F7" w:rsidSect="009750F7">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1AD43" w14:textId="77777777" w:rsidR="00AE2EF1" w:rsidRDefault="00AE2EF1" w:rsidP="0056259C">
      <w:r>
        <w:separator/>
      </w:r>
    </w:p>
  </w:endnote>
  <w:endnote w:type="continuationSeparator" w:id="0">
    <w:p w14:paraId="73829D75" w14:textId="77777777" w:rsidR="00AE2EF1" w:rsidRDefault="00AE2EF1" w:rsidP="0056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669C" w14:textId="77777777" w:rsidR="004D25B1" w:rsidRDefault="004D25B1" w:rsidP="00562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77144" w14:textId="28E86C3B" w:rsidR="004D25B1" w:rsidRDefault="004D25B1" w:rsidP="0056259C">
    <w:pPr>
      <w:pStyle w:val="Footer"/>
    </w:pPr>
  </w:p>
  <w:p w14:paraId="14363597" w14:textId="77777777" w:rsidR="004D25B1" w:rsidRDefault="004D25B1" w:rsidP="00562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04B59" w14:textId="77777777" w:rsidR="004D25B1" w:rsidRDefault="004D25B1" w:rsidP="00562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4BEA0" w14:textId="77777777" w:rsidR="00AE2EF1" w:rsidRDefault="00AE2EF1" w:rsidP="0056259C">
      <w:r>
        <w:separator/>
      </w:r>
    </w:p>
  </w:footnote>
  <w:footnote w:type="continuationSeparator" w:id="0">
    <w:p w14:paraId="17176E3A" w14:textId="77777777" w:rsidR="00AE2EF1" w:rsidRDefault="00AE2EF1" w:rsidP="00562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0936B" w14:textId="77777777" w:rsidR="004D25B1" w:rsidRDefault="004D25B1" w:rsidP="005625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2A926" w14:textId="77777777" w:rsidR="004D25B1" w:rsidRDefault="004D25B1" w:rsidP="005625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B2B7" w14:textId="77777777" w:rsidR="004D25B1" w:rsidRDefault="004D25B1" w:rsidP="005625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21"/>
    <w:multiLevelType w:val="hybridMultilevel"/>
    <w:tmpl w:val="F404C8B0"/>
    <w:lvl w:ilvl="0" w:tplc="BCB4C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C2334"/>
    <w:multiLevelType w:val="hybridMultilevel"/>
    <w:tmpl w:val="AEBCCE16"/>
    <w:lvl w:ilvl="0" w:tplc="1C4E2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B725C"/>
    <w:multiLevelType w:val="hybridMultilevel"/>
    <w:tmpl w:val="C7DCF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D412FE"/>
    <w:multiLevelType w:val="hybridMultilevel"/>
    <w:tmpl w:val="D430D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922CC5"/>
    <w:multiLevelType w:val="hybridMultilevel"/>
    <w:tmpl w:val="41C6C366"/>
    <w:lvl w:ilvl="0" w:tplc="AE00B8C8">
      <w:numFmt w:val="bullet"/>
      <w:lvlText w:val="-"/>
      <w:lvlJc w:val="left"/>
      <w:pPr>
        <w:ind w:left="720" w:hanging="360"/>
      </w:pPr>
      <w:rPr>
        <w:rFonts w:ascii="Calibri" w:eastAsiaTheme="minorHAns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743742"/>
    <w:multiLevelType w:val="hybridMultilevel"/>
    <w:tmpl w:val="F878C500"/>
    <w:lvl w:ilvl="0" w:tplc="A094EC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43AB7"/>
    <w:multiLevelType w:val="hybridMultilevel"/>
    <w:tmpl w:val="26A8420A"/>
    <w:lvl w:ilvl="0" w:tplc="FE941222">
      <w:start w:val="1"/>
      <w:numFmt w:val="bullet"/>
      <w:lvlText w:val="-"/>
      <w:lvlJc w:val="left"/>
      <w:pPr>
        <w:ind w:left="1801" w:hanging="360"/>
      </w:pPr>
      <w:rPr>
        <w:rFonts w:ascii="Calibri" w:eastAsiaTheme="minorHAnsi" w:hAnsi="Calibri" w:cstheme="minorBidi"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7" w15:restartNumberingAfterBreak="0">
    <w:nsid w:val="61C20E82"/>
    <w:multiLevelType w:val="multilevel"/>
    <w:tmpl w:val="F404C8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70B4D06"/>
    <w:multiLevelType w:val="hybridMultilevel"/>
    <w:tmpl w:val="17D81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6"/>
  </w:num>
  <w:num w:numId="5">
    <w:abstractNumId w:val="4"/>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1B"/>
    <w:rsid w:val="00057F4B"/>
    <w:rsid w:val="0006029C"/>
    <w:rsid w:val="00063955"/>
    <w:rsid w:val="00066146"/>
    <w:rsid w:val="00067C51"/>
    <w:rsid w:val="000966FB"/>
    <w:rsid w:val="00097D74"/>
    <w:rsid w:val="000A075E"/>
    <w:rsid w:val="000D6B35"/>
    <w:rsid w:val="00155DED"/>
    <w:rsid w:val="00185B1B"/>
    <w:rsid w:val="001E6A8E"/>
    <w:rsid w:val="00246FC3"/>
    <w:rsid w:val="00252FA7"/>
    <w:rsid w:val="00283C5F"/>
    <w:rsid w:val="00314E3D"/>
    <w:rsid w:val="00344400"/>
    <w:rsid w:val="00366A78"/>
    <w:rsid w:val="00397D54"/>
    <w:rsid w:val="003D4712"/>
    <w:rsid w:val="004002E3"/>
    <w:rsid w:val="004118D7"/>
    <w:rsid w:val="00416E91"/>
    <w:rsid w:val="00423BCD"/>
    <w:rsid w:val="00475049"/>
    <w:rsid w:val="00480839"/>
    <w:rsid w:val="004C3041"/>
    <w:rsid w:val="004D25B1"/>
    <w:rsid w:val="00532DCF"/>
    <w:rsid w:val="00543CBB"/>
    <w:rsid w:val="00560FCE"/>
    <w:rsid w:val="0056259C"/>
    <w:rsid w:val="005647FA"/>
    <w:rsid w:val="00566139"/>
    <w:rsid w:val="0058660B"/>
    <w:rsid w:val="005C4C4B"/>
    <w:rsid w:val="006148FC"/>
    <w:rsid w:val="006349F7"/>
    <w:rsid w:val="00656BA7"/>
    <w:rsid w:val="006B57C1"/>
    <w:rsid w:val="006C059D"/>
    <w:rsid w:val="006D7091"/>
    <w:rsid w:val="006F3A05"/>
    <w:rsid w:val="00726B4B"/>
    <w:rsid w:val="007440AE"/>
    <w:rsid w:val="007514FE"/>
    <w:rsid w:val="00787E0E"/>
    <w:rsid w:val="007A219D"/>
    <w:rsid w:val="007A37DE"/>
    <w:rsid w:val="007E6FA3"/>
    <w:rsid w:val="00827AC5"/>
    <w:rsid w:val="00872068"/>
    <w:rsid w:val="00877684"/>
    <w:rsid w:val="008B25B5"/>
    <w:rsid w:val="008F1185"/>
    <w:rsid w:val="008F6DCE"/>
    <w:rsid w:val="00917337"/>
    <w:rsid w:val="009209F4"/>
    <w:rsid w:val="00943BC1"/>
    <w:rsid w:val="00967E71"/>
    <w:rsid w:val="009750F7"/>
    <w:rsid w:val="00986923"/>
    <w:rsid w:val="00991936"/>
    <w:rsid w:val="009D3F3A"/>
    <w:rsid w:val="009D71C8"/>
    <w:rsid w:val="00A11E3E"/>
    <w:rsid w:val="00A132E4"/>
    <w:rsid w:val="00A13DFA"/>
    <w:rsid w:val="00A456E8"/>
    <w:rsid w:val="00A761B3"/>
    <w:rsid w:val="00A96149"/>
    <w:rsid w:val="00AB5BA9"/>
    <w:rsid w:val="00AB6BC1"/>
    <w:rsid w:val="00AC6C1E"/>
    <w:rsid w:val="00AE2EF1"/>
    <w:rsid w:val="00AE7624"/>
    <w:rsid w:val="00B222D6"/>
    <w:rsid w:val="00B247D7"/>
    <w:rsid w:val="00B56629"/>
    <w:rsid w:val="00BA65BA"/>
    <w:rsid w:val="00C23907"/>
    <w:rsid w:val="00C403F6"/>
    <w:rsid w:val="00C472C2"/>
    <w:rsid w:val="00C600C0"/>
    <w:rsid w:val="00CA1112"/>
    <w:rsid w:val="00D107E1"/>
    <w:rsid w:val="00D12265"/>
    <w:rsid w:val="00D20003"/>
    <w:rsid w:val="00D42179"/>
    <w:rsid w:val="00D56A2F"/>
    <w:rsid w:val="00D627A1"/>
    <w:rsid w:val="00D92942"/>
    <w:rsid w:val="00DB33F5"/>
    <w:rsid w:val="00DD180A"/>
    <w:rsid w:val="00DF69A7"/>
    <w:rsid w:val="00E067A8"/>
    <w:rsid w:val="00E71B04"/>
    <w:rsid w:val="00E743BF"/>
    <w:rsid w:val="00E74ED5"/>
    <w:rsid w:val="00ED7C19"/>
    <w:rsid w:val="00F05C3B"/>
    <w:rsid w:val="00F31C56"/>
    <w:rsid w:val="00F52EA6"/>
    <w:rsid w:val="00F60E88"/>
    <w:rsid w:val="00F64182"/>
    <w:rsid w:val="00F8120A"/>
    <w:rsid w:val="00F950C2"/>
    <w:rsid w:val="00FC03E2"/>
    <w:rsid w:val="00FD6BF1"/>
    <w:rsid w:val="00FE32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CC97"/>
  <w15:docId w15:val="{4322DDE7-80E5-437C-815C-EE05EDED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9C"/>
    <w:pPr>
      <w:tabs>
        <w:tab w:val="left" w:pos="3828"/>
      </w:tabs>
    </w:pPr>
    <w:rPr>
      <w:sz w:val="28"/>
      <w:szCs w:val="28"/>
    </w:rPr>
  </w:style>
  <w:style w:type="paragraph" w:styleId="Heading1">
    <w:name w:val="heading 1"/>
    <w:basedOn w:val="Normal"/>
    <w:next w:val="Normal"/>
    <w:link w:val="Heading1Char"/>
    <w:uiPriority w:val="9"/>
    <w:qFormat/>
    <w:rsid w:val="0056259C"/>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56259C"/>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9209F4"/>
    <w:pPr>
      <w:tabs>
        <w:tab w:val="clear" w:pos="3828"/>
        <w:tab w:val="left" w:pos="1701"/>
        <w:tab w:val="decimal" w:pos="6946"/>
        <w:tab w:val="decimal" w:pos="8931"/>
      </w:tabs>
      <w:spacing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337"/>
    <w:pPr>
      <w:ind w:left="720"/>
      <w:contextualSpacing/>
    </w:pPr>
  </w:style>
  <w:style w:type="paragraph" w:styleId="Header">
    <w:name w:val="header"/>
    <w:basedOn w:val="Normal"/>
    <w:link w:val="HeaderChar"/>
    <w:uiPriority w:val="99"/>
    <w:unhideWhenUsed/>
    <w:rsid w:val="00634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9F7"/>
  </w:style>
  <w:style w:type="paragraph" w:styleId="Footer">
    <w:name w:val="footer"/>
    <w:basedOn w:val="Normal"/>
    <w:link w:val="FooterChar"/>
    <w:uiPriority w:val="99"/>
    <w:unhideWhenUsed/>
    <w:rsid w:val="00634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9F7"/>
  </w:style>
  <w:style w:type="paragraph" w:styleId="BalloonText">
    <w:name w:val="Balloon Text"/>
    <w:basedOn w:val="Normal"/>
    <w:link w:val="BalloonTextChar"/>
    <w:uiPriority w:val="99"/>
    <w:semiHidden/>
    <w:unhideWhenUsed/>
    <w:rsid w:val="00060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29C"/>
    <w:rPr>
      <w:rFonts w:ascii="Tahoma" w:hAnsi="Tahoma" w:cs="Tahoma"/>
      <w:sz w:val="16"/>
      <w:szCs w:val="16"/>
    </w:rPr>
  </w:style>
  <w:style w:type="paragraph" w:customStyle="1" w:styleId="Default">
    <w:name w:val="Default"/>
    <w:rsid w:val="00D20003"/>
    <w:pPr>
      <w:spacing w:after="0" w:line="240" w:lineRule="auto"/>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styleId="Title">
    <w:name w:val="Title"/>
    <w:basedOn w:val="Normal"/>
    <w:next w:val="Normal"/>
    <w:link w:val="TitleChar"/>
    <w:uiPriority w:val="10"/>
    <w:qFormat/>
    <w:rsid w:val="005625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59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6259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56259C"/>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9209F4"/>
    <w:rPr>
      <w:sz w:val="28"/>
      <w:szCs w:val="28"/>
    </w:rPr>
  </w:style>
  <w:style w:type="paragraph" w:customStyle="1" w:styleId="normalextra">
    <w:name w:val="normal extra"/>
    <w:basedOn w:val="Normal"/>
    <w:qFormat/>
    <w:rsid w:val="006C059D"/>
    <w:pPr>
      <w:tabs>
        <w:tab w:val="decimal" w:pos="62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9199">
      <w:bodyDiv w:val="1"/>
      <w:marLeft w:val="0"/>
      <w:marRight w:val="0"/>
      <w:marTop w:val="0"/>
      <w:marBottom w:val="0"/>
      <w:divBdr>
        <w:top w:val="none" w:sz="0" w:space="0" w:color="auto"/>
        <w:left w:val="none" w:sz="0" w:space="0" w:color="auto"/>
        <w:bottom w:val="none" w:sz="0" w:space="0" w:color="auto"/>
        <w:right w:val="none" w:sz="0" w:space="0" w:color="auto"/>
      </w:divBdr>
      <w:divsChild>
        <w:div w:id="1966764569">
          <w:marLeft w:val="0"/>
          <w:marRight w:val="0"/>
          <w:marTop w:val="0"/>
          <w:marBottom w:val="0"/>
          <w:divBdr>
            <w:top w:val="none" w:sz="0" w:space="0" w:color="auto"/>
            <w:left w:val="none" w:sz="0" w:space="0" w:color="auto"/>
            <w:bottom w:val="single" w:sz="6" w:space="2" w:color="DDDDDD"/>
            <w:right w:val="none" w:sz="0" w:space="0" w:color="auto"/>
          </w:divBdr>
          <w:divsChild>
            <w:div w:id="111638448">
              <w:marLeft w:val="0"/>
              <w:marRight w:val="0"/>
              <w:marTop w:val="0"/>
              <w:marBottom w:val="0"/>
              <w:divBdr>
                <w:top w:val="none" w:sz="0" w:space="0" w:color="auto"/>
                <w:left w:val="none" w:sz="0" w:space="0" w:color="auto"/>
                <w:bottom w:val="none" w:sz="0" w:space="0" w:color="auto"/>
                <w:right w:val="none" w:sz="0" w:space="0" w:color="auto"/>
              </w:divBdr>
            </w:div>
            <w:div w:id="136145980">
              <w:marLeft w:val="0"/>
              <w:marRight w:val="0"/>
              <w:marTop w:val="0"/>
              <w:marBottom w:val="0"/>
              <w:divBdr>
                <w:top w:val="none" w:sz="0" w:space="0" w:color="auto"/>
                <w:left w:val="none" w:sz="0" w:space="0" w:color="auto"/>
                <w:bottom w:val="none" w:sz="0" w:space="0" w:color="auto"/>
                <w:right w:val="none" w:sz="0" w:space="0" w:color="auto"/>
              </w:divBdr>
              <w:divsChild>
                <w:div w:id="12717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2687">
          <w:marLeft w:val="0"/>
          <w:marRight w:val="0"/>
          <w:marTop w:val="0"/>
          <w:marBottom w:val="0"/>
          <w:divBdr>
            <w:top w:val="none" w:sz="0" w:space="0" w:color="auto"/>
            <w:left w:val="none" w:sz="0" w:space="0" w:color="auto"/>
            <w:bottom w:val="single" w:sz="6" w:space="2" w:color="DDDDDD"/>
            <w:right w:val="none" w:sz="0" w:space="0" w:color="auto"/>
          </w:divBdr>
          <w:divsChild>
            <w:div w:id="1657611672">
              <w:marLeft w:val="0"/>
              <w:marRight w:val="0"/>
              <w:marTop w:val="0"/>
              <w:marBottom w:val="0"/>
              <w:divBdr>
                <w:top w:val="none" w:sz="0" w:space="0" w:color="auto"/>
                <w:left w:val="none" w:sz="0" w:space="0" w:color="auto"/>
                <w:bottom w:val="none" w:sz="0" w:space="0" w:color="auto"/>
                <w:right w:val="none" w:sz="0" w:space="0" w:color="auto"/>
              </w:divBdr>
            </w:div>
            <w:div w:id="1180853459">
              <w:marLeft w:val="0"/>
              <w:marRight w:val="0"/>
              <w:marTop w:val="0"/>
              <w:marBottom w:val="0"/>
              <w:divBdr>
                <w:top w:val="none" w:sz="0" w:space="0" w:color="auto"/>
                <w:left w:val="none" w:sz="0" w:space="0" w:color="auto"/>
                <w:bottom w:val="none" w:sz="0" w:space="0" w:color="auto"/>
                <w:right w:val="none" w:sz="0" w:space="0" w:color="auto"/>
              </w:divBdr>
              <w:divsChild>
                <w:div w:id="9473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0702">
          <w:marLeft w:val="0"/>
          <w:marRight w:val="0"/>
          <w:marTop w:val="0"/>
          <w:marBottom w:val="0"/>
          <w:divBdr>
            <w:top w:val="none" w:sz="0" w:space="0" w:color="auto"/>
            <w:left w:val="none" w:sz="0" w:space="0" w:color="auto"/>
            <w:bottom w:val="single" w:sz="6" w:space="2" w:color="DDDDDD"/>
            <w:right w:val="none" w:sz="0" w:space="0" w:color="auto"/>
          </w:divBdr>
          <w:divsChild>
            <w:div w:id="2100322015">
              <w:marLeft w:val="0"/>
              <w:marRight w:val="0"/>
              <w:marTop w:val="0"/>
              <w:marBottom w:val="0"/>
              <w:divBdr>
                <w:top w:val="none" w:sz="0" w:space="0" w:color="auto"/>
                <w:left w:val="none" w:sz="0" w:space="0" w:color="auto"/>
                <w:bottom w:val="none" w:sz="0" w:space="0" w:color="auto"/>
                <w:right w:val="none" w:sz="0" w:space="0" w:color="auto"/>
              </w:divBdr>
            </w:div>
            <w:div w:id="2092239212">
              <w:marLeft w:val="0"/>
              <w:marRight w:val="0"/>
              <w:marTop w:val="0"/>
              <w:marBottom w:val="0"/>
              <w:divBdr>
                <w:top w:val="none" w:sz="0" w:space="0" w:color="auto"/>
                <w:left w:val="none" w:sz="0" w:space="0" w:color="auto"/>
                <w:bottom w:val="none" w:sz="0" w:space="0" w:color="auto"/>
                <w:right w:val="none" w:sz="0" w:space="0" w:color="auto"/>
              </w:divBdr>
              <w:divsChild>
                <w:div w:id="9453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5203">
          <w:marLeft w:val="0"/>
          <w:marRight w:val="0"/>
          <w:marTop w:val="0"/>
          <w:marBottom w:val="0"/>
          <w:divBdr>
            <w:top w:val="none" w:sz="0" w:space="0" w:color="auto"/>
            <w:left w:val="none" w:sz="0" w:space="0" w:color="auto"/>
            <w:bottom w:val="single" w:sz="6" w:space="2" w:color="DDDDDD"/>
            <w:right w:val="none" w:sz="0" w:space="0" w:color="auto"/>
          </w:divBdr>
          <w:divsChild>
            <w:div w:id="1056780066">
              <w:marLeft w:val="0"/>
              <w:marRight w:val="0"/>
              <w:marTop w:val="0"/>
              <w:marBottom w:val="0"/>
              <w:divBdr>
                <w:top w:val="none" w:sz="0" w:space="0" w:color="auto"/>
                <w:left w:val="none" w:sz="0" w:space="0" w:color="auto"/>
                <w:bottom w:val="none" w:sz="0" w:space="0" w:color="auto"/>
                <w:right w:val="none" w:sz="0" w:space="0" w:color="auto"/>
              </w:divBdr>
            </w:div>
            <w:div w:id="271010997">
              <w:marLeft w:val="0"/>
              <w:marRight w:val="0"/>
              <w:marTop w:val="0"/>
              <w:marBottom w:val="0"/>
              <w:divBdr>
                <w:top w:val="none" w:sz="0" w:space="0" w:color="auto"/>
                <w:left w:val="none" w:sz="0" w:space="0" w:color="auto"/>
                <w:bottom w:val="none" w:sz="0" w:space="0" w:color="auto"/>
                <w:right w:val="none" w:sz="0" w:space="0" w:color="auto"/>
              </w:divBdr>
              <w:divsChild>
                <w:div w:id="13819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70230">
          <w:marLeft w:val="0"/>
          <w:marRight w:val="0"/>
          <w:marTop w:val="0"/>
          <w:marBottom w:val="0"/>
          <w:divBdr>
            <w:top w:val="none" w:sz="0" w:space="0" w:color="auto"/>
            <w:left w:val="none" w:sz="0" w:space="0" w:color="auto"/>
            <w:bottom w:val="single" w:sz="6" w:space="2" w:color="DDDDDD"/>
            <w:right w:val="none" w:sz="0" w:space="0" w:color="auto"/>
          </w:divBdr>
          <w:divsChild>
            <w:div w:id="1914654728">
              <w:marLeft w:val="0"/>
              <w:marRight w:val="0"/>
              <w:marTop w:val="0"/>
              <w:marBottom w:val="0"/>
              <w:divBdr>
                <w:top w:val="none" w:sz="0" w:space="0" w:color="auto"/>
                <w:left w:val="none" w:sz="0" w:space="0" w:color="auto"/>
                <w:bottom w:val="none" w:sz="0" w:space="0" w:color="auto"/>
                <w:right w:val="none" w:sz="0" w:space="0" w:color="auto"/>
              </w:divBdr>
            </w:div>
            <w:div w:id="61220277">
              <w:marLeft w:val="0"/>
              <w:marRight w:val="0"/>
              <w:marTop w:val="0"/>
              <w:marBottom w:val="0"/>
              <w:divBdr>
                <w:top w:val="none" w:sz="0" w:space="0" w:color="auto"/>
                <w:left w:val="none" w:sz="0" w:space="0" w:color="auto"/>
                <w:bottom w:val="none" w:sz="0" w:space="0" w:color="auto"/>
                <w:right w:val="none" w:sz="0" w:space="0" w:color="auto"/>
              </w:divBdr>
              <w:divsChild>
                <w:div w:id="1396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696">
          <w:marLeft w:val="0"/>
          <w:marRight w:val="0"/>
          <w:marTop w:val="0"/>
          <w:marBottom w:val="0"/>
          <w:divBdr>
            <w:top w:val="none" w:sz="0" w:space="0" w:color="auto"/>
            <w:left w:val="none" w:sz="0" w:space="0" w:color="auto"/>
            <w:bottom w:val="single" w:sz="6" w:space="2" w:color="DDDDDD"/>
            <w:right w:val="none" w:sz="0" w:space="0" w:color="auto"/>
          </w:divBdr>
          <w:divsChild>
            <w:div w:id="1788548726">
              <w:marLeft w:val="0"/>
              <w:marRight w:val="0"/>
              <w:marTop w:val="0"/>
              <w:marBottom w:val="0"/>
              <w:divBdr>
                <w:top w:val="none" w:sz="0" w:space="0" w:color="auto"/>
                <w:left w:val="none" w:sz="0" w:space="0" w:color="auto"/>
                <w:bottom w:val="none" w:sz="0" w:space="0" w:color="auto"/>
                <w:right w:val="none" w:sz="0" w:space="0" w:color="auto"/>
              </w:divBdr>
            </w:div>
            <w:div w:id="1799032776">
              <w:marLeft w:val="0"/>
              <w:marRight w:val="0"/>
              <w:marTop w:val="0"/>
              <w:marBottom w:val="0"/>
              <w:divBdr>
                <w:top w:val="none" w:sz="0" w:space="0" w:color="auto"/>
                <w:left w:val="none" w:sz="0" w:space="0" w:color="auto"/>
                <w:bottom w:val="none" w:sz="0" w:space="0" w:color="auto"/>
                <w:right w:val="none" w:sz="0" w:space="0" w:color="auto"/>
              </w:divBdr>
              <w:divsChild>
                <w:div w:id="7826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3507">
          <w:marLeft w:val="0"/>
          <w:marRight w:val="0"/>
          <w:marTop w:val="0"/>
          <w:marBottom w:val="0"/>
          <w:divBdr>
            <w:top w:val="none" w:sz="0" w:space="0" w:color="auto"/>
            <w:left w:val="none" w:sz="0" w:space="0" w:color="auto"/>
            <w:bottom w:val="single" w:sz="6" w:space="2" w:color="DDDDDD"/>
            <w:right w:val="none" w:sz="0" w:space="0" w:color="auto"/>
          </w:divBdr>
          <w:divsChild>
            <w:div w:id="79185270">
              <w:marLeft w:val="0"/>
              <w:marRight w:val="0"/>
              <w:marTop w:val="0"/>
              <w:marBottom w:val="0"/>
              <w:divBdr>
                <w:top w:val="none" w:sz="0" w:space="0" w:color="auto"/>
                <w:left w:val="none" w:sz="0" w:space="0" w:color="auto"/>
                <w:bottom w:val="none" w:sz="0" w:space="0" w:color="auto"/>
                <w:right w:val="none" w:sz="0" w:space="0" w:color="auto"/>
              </w:divBdr>
            </w:div>
            <w:div w:id="535191617">
              <w:marLeft w:val="0"/>
              <w:marRight w:val="0"/>
              <w:marTop w:val="0"/>
              <w:marBottom w:val="0"/>
              <w:divBdr>
                <w:top w:val="none" w:sz="0" w:space="0" w:color="auto"/>
                <w:left w:val="none" w:sz="0" w:space="0" w:color="auto"/>
                <w:bottom w:val="none" w:sz="0" w:space="0" w:color="auto"/>
                <w:right w:val="none" w:sz="0" w:space="0" w:color="auto"/>
              </w:divBdr>
              <w:divsChild>
                <w:div w:id="17538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6477">
          <w:marLeft w:val="0"/>
          <w:marRight w:val="0"/>
          <w:marTop w:val="0"/>
          <w:marBottom w:val="0"/>
          <w:divBdr>
            <w:top w:val="none" w:sz="0" w:space="0" w:color="auto"/>
            <w:left w:val="none" w:sz="0" w:space="0" w:color="auto"/>
            <w:bottom w:val="single" w:sz="6" w:space="2" w:color="DDDDDD"/>
            <w:right w:val="none" w:sz="0" w:space="0" w:color="auto"/>
          </w:divBdr>
          <w:divsChild>
            <w:div w:id="2023360805">
              <w:marLeft w:val="0"/>
              <w:marRight w:val="0"/>
              <w:marTop w:val="0"/>
              <w:marBottom w:val="0"/>
              <w:divBdr>
                <w:top w:val="none" w:sz="0" w:space="0" w:color="auto"/>
                <w:left w:val="none" w:sz="0" w:space="0" w:color="auto"/>
                <w:bottom w:val="none" w:sz="0" w:space="0" w:color="auto"/>
                <w:right w:val="none" w:sz="0" w:space="0" w:color="auto"/>
              </w:divBdr>
            </w:div>
            <w:div w:id="2092775416">
              <w:marLeft w:val="0"/>
              <w:marRight w:val="0"/>
              <w:marTop w:val="0"/>
              <w:marBottom w:val="0"/>
              <w:divBdr>
                <w:top w:val="none" w:sz="0" w:space="0" w:color="auto"/>
                <w:left w:val="none" w:sz="0" w:space="0" w:color="auto"/>
                <w:bottom w:val="none" w:sz="0" w:space="0" w:color="auto"/>
                <w:right w:val="none" w:sz="0" w:space="0" w:color="auto"/>
              </w:divBdr>
              <w:divsChild>
                <w:div w:id="13812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398">
          <w:marLeft w:val="0"/>
          <w:marRight w:val="0"/>
          <w:marTop w:val="0"/>
          <w:marBottom w:val="0"/>
          <w:divBdr>
            <w:top w:val="none" w:sz="0" w:space="0" w:color="auto"/>
            <w:left w:val="none" w:sz="0" w:space="0" w:color="auto"/>
            <w:bottom w:val="single" w:sz="6" w:space="2" w:color="DDDDDD"/>
            <w:right w:val="none" w:sz="0" w:space="0" w:color="auto"/>
          </w:divBdr>
          <w:divsChild>
            <w:div w:id="1206059235">
              <w:marLeft w:val="0"/>
              <w:marRight w:val="0"/>
              <w:marTop w:val="0"/>
              <w:marBottom w:val="0"/>
              <w:divBdr>
                <w:top w:val="none" w:sz="0" w:space="0" w:color="auto"/>
                <w:left w:val="none" w:sz="0" w:space="0" w:color="auto"/>
                <w:bottom w:val="none" w:sz="0" w:space="0" w:color="auto"/>
                <w:right w:val="none" w:sz="0" w:space="0" w:color="auto"/>
              </w:divBdr>
            </w:div>
            <w:div w:id="2130394562">
              <w:marLeft w:val="0"/>
              <w:marRight w:val="0"/>
              <w:marTop w:val="0"/>
              <w:marBottom w:val="0"/>
              <w:divBdr>
                <w:top w:val="none" w:sz="0" w:space="0" w:color="auto"/>
                <w:left w:val="none" w:sz="0" w:space="0" w:color="auto"/>
                <w:bottom w:val="none" w:sz="0" w:space="0" w:color="auto"/>
                <w:right w:val="none" w:sz="0" w:space="0" w:color="auto"/>
              </w:divBdr>
              <w:divsChild>
                <w:div w:id="829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0309">
          <w:marLeft w:val="0"/>
          <w:marRight w:val="0"/>
          <w:marTop w:val="0"/>
          <w:marBottom w:val="0"/>
          <w:divBdr>
            <w:top w:val="none" w:sz="0" w:space="0" w:color="auto"/>
            <w:left w:val="none" w:sz="0" w:space="0" w:color="auto"/>
            <w:bottom w:val="single" w:sz="6" w:space="2" w:color="DDDDDD"/>
            <w:right w:val="none" w:sz="0" w:space="0" w:color="auto"/>
          </w:divBdr>
          <w:divsChild>
            <w:div w:id="1925216511">
              <w:marLeft w:val="0"/>
              <w:marRight w:val="0"/>
              <w:marTop w:val="0"/>
              <w:marBottom w:val="0"/>
              <w:divBdr>
                <w:top w:val="none" w:sz="0" w:space="0" w:color="auto"/>
                <w:left w:val="none" w:sz="0" w:space="0" w:color="auto"/>
                <w:bottom w:val="none" w:sz="0" w:space="0" w:color="auto"/>
                <w:right w:val="none" w:sz="0" w:space="0" w:color="auto"/>
              </w:divBdr>
            </w:div>
            <w:div w:id="17701376">
              <w:marLeft w:val="0"/>
              <w:marRight w:val="0"/>
              <w:marTop w:val="0"/>
              <w:marBottom w:val="0"/>
              <w:divBdr>
                <w:top w:val="none" w:sz="0" w:space="0" w:color="auto"/>
                <w:left w:val="none" w:sz="0" w:space="0" w:color="auto"/>
                <w:bottom w:val="none" w:sz="0" w:space="0" w:color="auto"/>
                <w:right w:val="none" w:sz="0" w:space="0" w:color="auto"/>
              </w:divBdr>
              <w:divsChild>
                <w:div w:id="18024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123">
          <w:marLeft w:val="0"/>
          <w:marRight w:val="0"/>
          <w:marTop w:val="0"/>
          <w:marBottom w:val="0"/>
          <w:divBdr>
            <w:top w:val="none" w:sz="0" w:space="0" w:color="auto"/>
            <w:left w:val="none" w:sz="0" w:space="0" w:color="auto"/>
            <w:bottom w:val="single" w:sz="6" w:space="2" w:color="DDDDDD"/>
            <w:right w:val="none" w:sz="0" w:space="0" w:color="auto"/>
          </w:divBdr>
          <w:divsChild>
            <w:div w:id="1518881493">
              <w:marLeft w:val="0"/>
              <w:marRight w:val="0"/>
              <w:marTop w:val="0"/>
              <w:marBottom w:val="0"/>
              <w:divBdr>
                <w:top w:val="none" w:sz="0" w:space="0" w:color="auto"/>
                <w:left w:val="none" w:sz="0" w:space="0" w:color="auto"/>
                <w:bottom w:val="none" w:sz="0" w:space="0" w:color="auto"/>
                <w:right w:val="none" w:sz="0" w:space="0" w:color="auto"/>
              </w:divBdr>
            </w:div>
            <w:div w:id="2102136133">
              <w:marLeft w:val="0"/>
              <w:marRight w:val="0"/>
              <w:marTop w:val="0"/>
              <w:marBottom w:val="0"/>
              <w:divBdr>
                <w:top w:val="none" w:sz="0" w:space="0" w:color="auto"/>
                <w:left w:val="none" w:sz="0" w:space="0" w:color="auto"/>
                <w:bottom w:val="none" w:sz="0" w:space="0" w:color="auto"/>
                <w:right w:val="none" w:sz="0" w:space="0" w:color="auto"/>
              </w:divBdr>
              <w:divsChild>
                <w:div w:id="18786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82112">
          <w:marLeft w:val="0"/>
          <w:marRight w:val="0"/>
          <w:marTop w:val="0"/>
          <w:marBottom w:val="0"/>
          <w:divBdr>
            <w:top w:val="none" w:sz="0" w:space="0" w:color="auto"/>
            <w:left w:val="none" w:sz="0" w:space="0" w:color="auto"/>
            <w:bottom w:val="single" w:sz="6" w:space="2" w:color="DDDDDD"/>
            <w:right w:val="none" w:sz="0" w:space="0" w:color="auto"/>
          </w:divBdr>
          <w:divsChild>
            <w:div w:id="1625573434">
              <w:marLeft w:val="0"/>
              <w:marRight w:val="0"/>
              <w:marTop w:val="0"/>
              <w:marBottom w:val="0"/>
              <w:divBdr>
                <w:top w:val="none" w:sz="0" w:space="0" w:color="auto"/>
                <w:left w:val="none" w:sz="0" w:space="0" w:color="auto"/>
                <w:bottom w:val="none" w:sz="0" w:space="0" w:color="auto"/>
                <w:right w:val="none" w:sz="0" w:space="0" w:color="auto"/>
              </w:divBdr>
            </w:div>
            <w:div w:id="1537548738">
              <w:marLeft w:val="0"/>
              <w:marRight w:val="0"/>
              <w:marTop w:val="0"/>
              <w:marBottom w:val="0"/>
              <w:divBdr>
                <w:top w:val="none" w:sz="0" w:space="0" w:color="auto"/>
                <w:left w:val="none" w:sz="0" w:space="0" w:color="auto"/>
                <w:bottom w:val="none" w:sz="0" w:space="0" w:color="auto"/>
                <w:right w:val="none" w:sz="0" w:space="0" w:color="auto"/>
              </w:divBdr>
              <w:divsChild>
                <w:div w:id="207581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7511">
          <w:marLeft w:val="0"/>
          <w:marRight w:val="0"/>
          <w:marTop w:val="0"/>
          <w:marBottom w:val="0"/>
          <w:divBdr>
            <w:top w:val="none" w:sz="0" w:space="0" w:color="auto"/>
            <w:left w:val="none" w:sz="0" w:space="0" w:color="auto"/>
            <w:bottom w:val="single" w:sz="6" w:space="2" w:color="DDDDDD"/>
            <w:right w:val="none" w:sz="0" w:space="0" w:color="auto"/>
          </w:divBdr>
          <w:divsChild>
            <w:div w:id="550507740">
              <w:marLeft w:val="0"/>
              <w:marRight w:val="0"/>
              <w:marTop w:val="0"/>
              <w:marBottom w:val="0"/>
              <w:divBdr>
                <w:top w:val="none" w:sz="0" w:space="0" w:color="auto"/>
                <w:left w:val="none" w:sz="0" w:space="0" w:color="auto"/>
                <w:bottom w:val="none" w:sz="0" w:space="0" w:color="auto"/>
                <w:right w:val="none" w:sz="0" w:space="0" w:color="auto"/>
              </w:divBdr>
            </w:div>
            <w:div w:id="1643729927">
              <w:marLeft w:val="0"/>
              <w:marRight w:val="0"/>
              <w:marTop w:val="0"/>
              <w:marBottom w:val="0"/>
              <w:divBdr>
                <w:top w:val="none" w:sz="0" w:space="0" w:color="auto"/>
                <w:left w:val="none" w:sz="0" w:space="0" w:color="auto"/>
                <w:bottom w:val="none" w:sz="0" w:space="0" w:color="auto"/>
                <w:right w:val="none" w:sz="0" w:space="0" w:color="auto"/>
              </w:divBdr>
              <w:divsChild>
                <w:div w:id="15267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6739">
          <w:marLeft w:val="0"/>
          <w:marRight w:val="0"/>
          <w:marTop w:val="0"/>
          <w:marBottom w:val="0"/>
          <w:divBdr>
            <w:top w:val="none" w:sz="0" w:space="0" w:color="auto"/>
            <w:left w:val="none" w:sz="0" w:space="0" w:color="auto"/>
            <w:bottom w:val="single" w:sz="6" w:space="2" w:color="DDDDDD"/>
            <w:right w:val="none" w:sz="0" w:space="0" w:color="auto"/>
          </w:divBdr>
          <w:divsChild>
            <w:div w:id="653798745">
              <w:marLeft w:val="0"/>
              <w:marRight w:val="0"/>
              <w:marTop w:val="0"/>
              <w:marBottom w:val="0"/>
              <w:divBdr>
                <w:top w:val="none" w:sz="0" w:space="0" w:color="auto"/>
                <w:left w:val="none" w:sz="0" w:space="0" w:color="auto"/>
                <w:bottom w:val="none" w:sz="0" w:space="0" w:color="auto"/>
                <w:right w:val="none" w:sz="0" w:space="0" w:color="auto"/>
              </w:divBdr>
            </w:div>
            <w:div w:id="389112304">
              <w:marLeft w:val="0"/>
              <w:marRight w:val="0"/>
              <w:marTop w:val="0"/>
              <w:marBottom w:val="0"/>
              <w:divBdr>
                <w:top w:val="none" w:sz="0" w:space="0" w:color="auto"/>
                <w:left w:val="none" w:sz="0" w:space="0" w:color="auto"/>
                <w:bottom w:val="none" w:sz="0" w:space="0" w:color="auto"/>
                <w:right w:val="none" w:sz="0" w:space="0" w:color="auto"/>
              </w:divBdr>
              <w:divsChild>
                <w:div w:id="8620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20105">
          <w:marLeft w:val="0"/>
          <w:marRight w:val="0"/>
          <w:marTop w:val="0"/>
          <w:marBottom w:val="0"/>
          <w:divBdr>
            <w:top w:val="none" w:sz="0" w:space="0" w:color="auto"/>
            <w:left w:val="none" w:sz="0" w:space="0" w:color="auto"/>
            <w:bottom w:val="single" w:sz="6" w:space="2" w:color="DDDDDD"/>
            <w:right w:val="none" w:sz="0" w:space="0" w:color="auto"/>
          </w:divBdr>
          <w:divsChild>
            <w:div w:id="7442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04722">
      <w:bodyDiv w:val="1"/>
      <w:marLeft w:val="0"/>
      <w:marRight w:val="0"/>
      <w:marTop w:val="0"/>
      <w:marBottom w:val="0"/>
      <w:divBdr>
        <w:top w:val="none" w:sz="0" w:space="0" w:color="auto"/>
        <w:left w:val="none" w:sz="0" w:space="0" w:color="auto"/>
        <w:bottom w:val="none" w:sz="0" w:space="0" w:color="auto"/>
        <w:right w:val="none" w:sz="0" w:space="0" w:color="auto"/>
      </w:divBdr>
    </w:div>
    <w:div w:id="20813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D1960-40EB-4544-9E7C-6E619AFC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Stephen Lowry</cp:lastModifiedBy>
  <cp:revision>3</cp:revision>
  <cp:lastPrinted>2019-02-11T15:39:00Z</cp:lastPrinted>
  <dcterms:created xsi:type="dcterms:W3CDTF">2021-03-26T21:11:00Z</dcterms:created>
  <dcterms:modified xsi:type="dcterms:W3CDTF">2021-03-26T21:11:00Z</dcterms:modified>
</cp:coreProperties>
</file>